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300"/>
        <w:jc w:val="center"/>
      </w:pPr>
      <w:r>
        <w:rPr>
          <w:rFonts w:ascii="Times New Roman" w:cs="Times New Roman" w:eastAsia="Times New Roman" w:hAnsi="Times New Roman"/>
          <w:b/>
          <w:bCs/>
          <w:color w:val="0F3D5C"/>
          <w:sz w:val="36"/>
          <w:szCs w:val="36"/>
        </w:rPr>
        <w:t xml:space="preserve">AI in Fraud Detection: A Case Study of PayPal</w:t>
      </w:r>
    </w:p>
    <w:p>
      <w:pPr>
        <w:spacing w:after="400"/>
        <w:jc w:val="center"/>
      </w:pPr>
      <w:r>
        <w:rPr>
          <w:rFonts w:ascii="Times New Roman" w:cs="Times New Roman" w:eastAsia="Times New Roman" w:hAnsi="Times New Roman"/>
          <w:b/>
          <w:bCs/>
          <w:color w:val="B5551A"/>
          <w:sz w:val="24"/>
          <w:szCs w:val="24"/>
        </w:rPr>
        <w:t xml:space="preserve">Group Anubis</w:t>
      </w:r>
    </w:p>
    <w:p>
      <w:pPr>
        <w:pBdr>
          <w:top w:val="single" w:color="B5551A"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04, Assignment 04 (Group Project)</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June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and conclusions reflect the student's own reasoning.</w:t>
      </w:r>
    </w:p>
    <w:p>
      <w:r>
        <w:br w:type="page"/>
      </w:r>
    </w:p>
    <w:p>
      <w:pPr>
        <w:spacing w:after="150" w:before="300"/>
        <w:ind w:firstLine="0"/>
      </w:pPr>
      <w:r>
        <w:rPr>
          <w:rFonts w:ascii="Times New Roman" w:cs="Times New Roman" w:eastAsia="Times New Roman" w:hAnsi="Times New Roman"/>
          <w:b/>
          <w:bCs/>
          <w:color w:val="0F3D5C"/>
          <w:sz w:val="28"/>
          <w:szCs w:val="28"/>
        </w:rPr>
        <w:t xml:space="preserve">Introduction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PayPal Holdings, Inc. is one of the world's largest digital payment platforms, founded in 1998 and headquartered in San Jose, California. As of 2022, the company serves over 435 million active accounts across more than 200 markets worldwide, and its total payment volume grew from $578 billion in 2018 to $1.36 trillion in 2022, a compound annual growth rate of roughly 23.8 percent (PayPal Holdings, Inc.). This report, prepared as a group project for ITAI 2372, argues that PayPal's shift from rule-based to AI-driven fraud detection demonstrates that ensemble machine learning and graph neural networks can deliver security and scale simultaneously, but that the resulting explainability and bias risks demand the same engineering investment the fraud models themselves received.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This growth trajectory explains why static, rule-based fraud detection became unsustainable. When PayPal processed $578 billion a year, rule sets could still be managed; at $1.36 trillion across 200-plus markets, the volume, speed, and geographic spread made that approach unworkable. Early rule-based systems flagged transactions against static thresholds such as transaction size, geographic location, and purchase velocity, producing enormous numbers of false positives while remaining reactive by design, unable to catch new fraud patterns until investigators had already documented them (Columbus). To address these structural weaknesses, PayPal invested in one of the most sophisticated real-time fraud detection platforms in global fintech, achieving a fraud loss rate of approximately 0.32 percent of total payment volume, well below the industry average that frequently exceeds 1.00 percent (“PayPal AI Case Study”). The broader academic literature on AI in finance confirms this outcome is expected: machine learning classification and early warning systems outperform traditional methods in both accuracy and efficiency, making fraud detection one of the highest-impact uses of AI in the financial sector (Bahoo et al.).</w:t>
      </w:r>
    </w:p>
    <w:p>
      <w:pPr>
        <w:spacing w:after="80" w:before="200"/>
        <w:ind w:firstLine="0"/>
      </w:pPr>
      <w:r>
        <w:rPr>
          <w:rFonts w:ascii="Times New Roman" w:cs="Times New Roman" w:eastAsia="Times New Roman" w:hAnsi="Times New Roman"/>
          <w:b/>
          <w:bCs/>
          <w:i/>
          <w:iCs/>
          <w:color w:val="0F3D5C"/>
          <w:sz w:val="24"/>
          <w:szCs w:val="24"/>
        </w:rPr>
        <w:t xml:space="preserve">Table 1. PayPal Total Payment Volume Growth (2018–2022)</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48"/>
        <w:gridCol w:w="2848"/>
        <w:gridCol w:w="2272"/>
        <w:gridCol w:w="2272"/>
      </w:tblGrid>
      <w:tr>
        <w:trPr>
          <w:tblHeader/>
        </w:trPr>
        <w:tc>
          <w:tcPr>
            <w:tcW w:type="dxa" w:w="1848"/>
            <w:shd w:fill="0F3D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Year</w:t>
            </w:r>
          </w:p>
        </w:tc>
        <w:tc>
          <w:tcPr>
            <w:tcW w:type="dxa" w:w="2848"/>
            <w:shd w:fill="0F3D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Total Payment Volume</w:t>
            </w:r>
          </w:p>
        </w:tc>
        <w:tc>
          <w:tcPr>
            <w:tcW w:type="dxa" w:w="2272"/>
            <w:shd w:fill="0F3D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YoY Growth</w:t>
            </w:r>
          </w:p>
        </w:tc>
        <w:tc>
          <w:tcPr>
            <w:tcW w:type="dxa" w:w="2272"/>
            <w:shd w:fill="0F3D5C"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
            </w:r>
          </w:p>
        </w:tc>
      </w:tr>
      <w:tr>
        <w:tc>
          <w:tcPr>
            <w:tcW w:type="dxa" w:w="1848"/>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2018</w:t>
            </w:r>
          </w:p>
        </w:tc>
        <w:tc>
          <w:tcPr>
            <w:tcW w:type="dxa" w:w="2848"/>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$578B</w:t>
            </w:r>
          </w:p>
        </w:tc>
        <w:tc>
          <w:tcPr>
            <w:tcW w:type="dxa" w:w="2272"/>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N/A</w:t>
            </w:r>
          </w:p>
        </w:tc>
        <w:tc>
          <w:tcPr>
            <w:tcW w:type="dxa" w:w="2272"/>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
            </w:r>
          </w:p>
        </w:tc>
      </w:tr>
      <w:tr>
        <w:tc>
          <w:tcPr>
            <w:tcW w:type="dxa" w:w="1848"/>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2019</w:t>
            </w:r>
          </w:p>
        </w:tc>
        <w:tc>
          <w:tcPr>
            <w:tcW w:type="dxa" w:w="2848"/>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$712B</w:t>
            </w:r>
          </w:p>
        </w:tc>
        <w:tc>
          <w:tcPr>
            <w:tcW w:type="dxa" w:w="2272"/>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+23.2%</w:t>
            </w:r>
          </w:p>
        </w:tc>
        <w:tc>
          <w:tcPr>
            <w:tcW w:type="dxa" w:w="2272"/>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
            </w:r>
          </w:p>
        </w:tc>
      </w:tr>
      <w:tr>
        <w:tc>
          <w:tcPr>
            <w:tcW w:type="dxa" w:w="1848"/>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2020</w:t>
            </w:r>
          </w:p>
        </w:tc>
        <w:tc>
          <w:tcPr>
            <w:tcW w:type="dxa" w:w="2848"/>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$936B</w:t>
            </w:r>
          </w:p>
        </w:tc>
        <w:tc>
          <w:tcPr>
            <w:tcW w:type="dxa" w:w="2272"/>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+31.5%</w:t>
            </w:r>
          </w:p>
        </w:tc>
        <w:tc>
          <w:tcPr>
            <w:tcW w:type="dxa" w:w="2272"/>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
            </w:r>
          </w:p>
        </w:tc>
      </w:tr>
      <w:tr>
        <w:tc>
          <w:tcPr>
            <w:tcW w:type="dxa" w:w="1848"/>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2021</w:t>
            </w:r>
          </w:p>
        </w:tc>
        <w:tc>
          <w:tcPr>
            <w:tcW w:type="dxa" w:w="2848"/>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$1.25T</w:t>
            </w:r>
          </w:p>
        </w:tc>
        <w:tc>
          <w:tcPr>
            <w:tcW w:type="dxa" w:w="2272"/>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+33.9%</w:t>
            </w:r>
          </w:p>
        </w:tc>
        <w:tc>
          <w:tcPr>
            <w:tcW w:type="dxa" w:w="2272"/>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
            </w:r>
          </w:p>
        </w:tc>
      </w:tr>
      <w:tr>
        <w:tc>
          <w:tcPr>
            <w:tcW w:type="dxa" w:w="1848"/>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2022</w:t>
            </w:r>
          </w:p>
        </w:tc>
        <w:tc>
          <w:tcPr>
            <w:tcW w:type="dxa" w:w="2848"/>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$1.36T</w:t>
            </w:r>
          </w:p>
        </w:tc>
        <w:tc>
          <w:tcPr>
            <w:tcW w:type="dxa" w:w="2272"/>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+8.5%</w:t>
            </w:r>
          </w:p>
        </w:tc>
        <w:tc>
          <w:tcPr>
            <w:tcW w:type="dxa" w:w="2272"/>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
            </w:r>
          </w:p>
        </w:tc>
      </w:tr>
    </w:tbl>
    <w:p>
      <w:pPr>
        <w:spacing w:after="300" w:before="80"/>
        <w:ind w:firstLine="0"/>
      </w:pPr>
      <w:r>
        <w:rPr>
          <w:rFonts w:ascii="Times New Roman" w:cs="Times New Roman" w:eastAsia="Times New Roman" w:hAnsi="Times New Roman"/>
          <w:i/>
          <w:iCs/>
          <w:color w:val="595959"/>
          <w:sz w:val="20"/>
          <w:szCs w:val="20"/>
        </w:rPr>
        <w:t xml:space="preserve">Source: PayPal Holdings, Inc.</w:t>
      </w:r>
    </w:p>
    <w:p>
      <w:pPr>
        <w:spacing w:after="150" w:before="300"/>
        <w:ind w:firstLine="0"/>
      </w:pPr>
      <w:r>
        <w:rPr>
          <w:rFonts w:ascii="Times New Roman" w:cs="Times New Roman" w:eastAsia="Times New Roman" w:hAnsi="Times New Roman"/>
          <w:b/>
          <w:bCs/>
          <w:color w:val="0F3D5C"/>
          <w:sz w:val="28"/>
          <w:szCs w:val="28"/>
        </w:rPr>
        <w:t xml:space="preserve">How PayPal's AI Fraud Detection Works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PayPal's fraud detection infrastructure is a layered ensemble of AI systems, each contributing a specialized capability. Every transaction is routed through a five-stage pipeline: transaction receipt (amount, device, location, merchant), feature extraction (700-plus risk signals computed), model scoring (a deep learning and graph neural network ensemble), risk assessment (a low, medium, or high score), and final action (approve, verify, or block), all completed in under 300 milliseconds (Morse).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At the core of the system are deep learning models, specifically multi-layer neural networks trained on billions of historical transactions, which learn complex, non-linear relationships between transaction features and fraud outcomes without being programmed with explicit rules. A transaction that looks fine against a simple rule can still be flagged as high-risk when a neural network recognizes its combination of amount, location, device, time, and history matches a known fraud pattern (Morse). PayPal employs an ensemble approach where multiple model architectures independently produce risk assessments and a composite score is derived from their combined output, reducing the risk of any single model's blind spots causing systematic misclassification, an approach the academic literature confirms produces the strongest fraud detection results across real-world transaction data (Bahoo et al.). A review of 104 machine learning fraud detection studies backs this up, finding that supervised models consistently perform well on real-world transaction data using metrics like F1-score and AUC-ROC (Rodríguez Barrero).</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PayPal's most technically advanced capability is its use of graph neural networks to identify coordinated fraud rings. While conventional models evaluate accounts and transactions in isolation, graph neural networks map the relational structure between accounts by treating shared device identifiers, IP addresses, email domains, shipping addresses, and bank account numbers as edges in a network graph (Alarcon et al.). When the model detects an unusually dense cluster of connections, it flags the cluster as a potential fraud ring even if no individual account has yet executed a fraudulent transaction, a technique that is particularly effective against synthetic identity fraud and organized account-takeover campaigns. PayPal's two-sided platform, holding transaction data on both buyer and seller for every payment, gives its graph models a richer relational dataset than most single-sided processors can access (Alarcon et al.).</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Beyond transaction content, the system analyzes behavioral signals that reflect how a user physically interacts with their device, including typing speed and rhythm, touchscreen pressure, swipe patterns, and navigation sequences within the app (“PayPal AI Case Study”). Because these patterns reflect deeply ingrained physical habits, they are extremely difficult for a fraudster to replicate even when armed with a victim's credentials. Device intelligence complements this by constructing a unique fingerprint for every device used on the platform, and a transaction from an unrecognized device automatically elevates the risk score. This mechanism directly reflects a principle from the course: AI systems become more accurate through continued exposure to edge cases, since each anomalous pattern confirmed as fraud becomes training data that sharpens future detection (Houston Community College). The system is also adaptive: confirmed fraud cases are continuously fed back into the training pipeline, causing models to retrain and update their recognition of emerging fraud patterns without manual rule-writing, allowing PayPal to stay ahead of adversarial fraud actors who actively probe and adapt to detection systems (Columbus).</w:t>
      </w:r>
    </w:p>
    <w:p>
      <w:pPr>
        <w:spacing w:after="80" w:before="200"/>
        <w:ind w:firstLine="0"/>
      </w:pPr>
      <w:r>
        <w:rPr>
          <w:rFonts w:ascii="Times New Roman" w:cs="Times New Roman" w:eastAsia="Times New Roman" w:hAnsi="Times New Roman"/>
          <w:b/>
          <w:bCs/>
          <w:i/>
          <w:iCs/>
          <w:color w:val="0F3D5C"/>
          <w:sz w:val="24"/>
          <w:szCs w:val="24"/>
        </w:rPr>
        <w:t xml:space="preserve">Table 2. PayPal Risk Score Decision Tiers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48"/>
        <w:gridCol w:w="1848"/>
        <w:gridCol w:w="5544"/>
      </w:tblGrid>
      <w:tr>
        <w:trPr>
          <w:tblHeader/>
        </w:trPr>
        <w:tc>
          <w:tcPr>
            <w:tcW w:type="dxa" w:w="1848"/>
            <w:shd w:fill="0F3D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Risk Tier</w:t>
            </w:r>
          </w:p>
        </w:tc>
        <w:tc>
          <w:tcPr>
            <w:tcW w:type="dxa" w:w="1848"/>
            <w:shd w:fill="0F3D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Score Range</w:t>
            </w:r>
          </w:p>
        </w:tc>
        <w:tc>
          <w:tcPr>
            <w:tcW w:type="dxa" w:w="5544"/>
            <w:shd w:fill="0F3D5C"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System Response</w:t>
            </w:r>
          </w:p>
        </w:tc>
      </w:tr>
      <w:tr>
        <w:tc>
          <w:tcPr>
            <w:tcW w:type="dxa" w:w="1848"/>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000000"/>
                <w:sz w:val="20"/>
                <w:szCs w:val="20"/>
              </w:rPr>
              <w:t xml:space="preserve">High (~1%)</w:t>
            </w:r>
          </w:p>
        </w:tc>
        <w:tc>
          <w:tcPr>
            <w:tcW w:type="dxa" w:w="1848"/>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0.70–1.00</w:t>
            </w:r>
          </w:p>
        </w:tc>
        <w:tc>
          <w:tcPr>
            <w:tcW w:type="dxa" w:w="5544"/>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Transaction blocked immediately; fraud investigator alert triggered; account flagged for manual review</w:t>
            </w:r>
          </w:p>
        </w:tc>
      </w:tr>
      <w:tr>
        <w:tc>
          <w:tcPr>
            <w:tcW w:type="dxa" w:w="1848"/>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000000"/>
                <w:sz w:val="20"/>
                <w:szCs w:val="20"/>
              </w:rPr>
              <w:t xml:space="preserve">Medium (~5%)</w:t>
            </w:r>
          </w:p>
        </w:tc>
        <w:tc>
          <w:tcPr>
            <w:tcW w:type="dxa" w:w="1848"/>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0.40–0.69</w:t>
            </w:r>
          </w:p>
        </w:tc>
        <w:tc>
          <w:tcPr>
            <w:tcW w:type="dxa" w:w="5544"/>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Step-up authentication required; customer prompted for 2FA/OTP; approved only on confirmation</w:t>
            </w:r>
          </w:p>
        </w:tc>
      </w:tr>
      <w:tr>
        <w:tc>
          <w:tcPr>
            <w:tcW w:type="dxa" w:w="1848"/>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000000"/>
                <w:sz w:val="20"/>
                <w:szCs w:val="20"/>
              </w:rPr>
              <w:t xml:space="preserve">Low (~94%)</w:t>
            </w:r>
          </w:p>
        </w:tc>
        <w:tc>
          <w:tcPr>
            <w:tcW w:type="dxa" w:w="1848"/>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0.00–0.39</w:t>
            </w:r>
          </w:p>
        </w:tc>
        <w:tc>
          <w:tcPr>
            <w:tcW w:type="dxa" w:w="5544"/>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Auto-approved instantly; no customer friction; payment completes in under 300ms</w:t>
            </w:r>
          </w:p>
        </w:tc>
      </w:tr>
    </w:tbl>
    <w:p>
      <w:pPr>
        <w:spacing w:after="300" w:before="80"/>
        <w:ind w:firstLine="0"/>
      </w:pPr>
      <w:r>
        <w:rPr>
          <w:rFonts w:ascii="Times New Roman" w:cs="Times New Roman" w:eastAsia="Times New Roman" w:hAnsi="Times New Roman"/>
          <w:i/>
          <w:iCs/>
          <w:color w:val="595959"/>
          <w:sz w:val="20"/>
          <w:szCs w:val="20"/>
        </w:rPr>
        <w:t xml:space="preserve">Source: Morse. Approximate share estimates are conceptual.</w:t>
      </w:r>
    </w:p>
    <w:p>
      <w:pPr>
        <w:spacing w:after="80" w:before="200"/>
        <w:ind w:firstLine="0"/>
      </w:pPr>
      <w:r>
        <w:rPr>
          <w:rFonts w:ascii="Times New Roman" w:cs="Times New Roman" w:eastAsia="Times New Roman" w:hAnsi="Times New Roman"/>
          <w:b/>
          <w:bCs/>
          <w:i/>
          <w:iCs/>
          <w:color w:val="0F3D5C"/>
          <w:sz w:val="24"/>
          <w:szCs w:val="24"/>
        </w:rPr>
        <w:t xml:space="preserve">Table 3. Operational Performance Metrics: Industry Baseline vs. PayPal with AI</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rPr>
          <w:tblHeader/>
        </w:trPr>
        <w:tc>
          <w:tcPr>
            <w:tcW w:type="dxa" w:w="3080"/>
            <w:shd w:fill="0F3D5C"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Metric</w:t>
            </w:r>
          </w:p>
        </w:tc>
        <w:tc>
          <w:tcPr>
            <w:tcW w:type="dxa" w:w="3080"/>
            <w:shd w:fill="0F3D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Industry Baseline</w:t>
            </w:r>
          </w:p>
        </w:tc>
        <w:tc>
          <w:tcPr>
            <w:tcW w:type="dxa" w:w="3080"/>
            <w:shd w:fill="0F3D5C"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PayPal with AI</w:t>
            </w:r>
          </w:p>
        </w:tc>
      </w:tr>
      <w:tr>
        <w:tc>
          <w:tcPr>
            <w:tcW w:type="dxa" w:w="308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Fraud Loss Rate</w:t>
            </w:r>
          </w:p>
        </w:tc>
        <w:tc>
          <w:tcPr>
            <w:tcW w:type="dxa" w:w="308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~1.00%+ of TPV</w:t>
            </w:r>
          </w:p>
        </w:tc>
        <w:tc>
          <w:tcPr>
            <w:tcW w:type="dxa" w:w="308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~0.32% of TPV</w:t>
            </w:r>
          </w:p>
        </w:tc>
      </w:tr>
      <w:tr>
        <w:tc>
          <w:tcPr>
            <w:tcW w:type="dxa" w:w="308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Transactions Scored Daily</w:t>
            </w:r>
          </w:p>
        </w:tc>
        <w:tc>
          <w:tcPr>
            <w:tcW w:type="dxa" w:w="308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Rule-based batch</w:t>
            </w:r>
          </w:p>
        </w:tc>
        <w:tc>
          <w:tcPr>
            <w:tcW w:type="dxa" w:w="308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45+ million in real time</w:t>
            </w:r>
          </w:p>
        </w:tc>
      </w:tr>
      <w:tr>
        <w:tc>
          <w:tcPr>
            <w:tcW w:type="dxa" w:w="308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Risk Signals per Transaction</w:t>
            </w:r>
          </w:p>
        </w:tc>
        <w:tc>
          <w:tcPr>
            <w:tcW w:type="dxa" w:w="308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~10–20 static rules</w:t>
            </w:r>
          </w:p>
        </w:tc>
        <w:tc>
          <w:tcPr>
            <w:tcW w:type="dxa" w:w="308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700+ dynamic features</w:t>
            </w:r>
          </w:p>
        </w:tc>
      </w:tr>
      <w:tr>
        <w:tc>
          <w:tcPr>
            <w:tcW w:type="dxa" w:w="308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False Positive Rate</w:t>
            </w:r>
          </w:p>
        </w:tc>
        <w:tc>
          <w:tcPr>
            <w:tcW w:type="dxa" w:w="308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High (manual-heavy)</w:t>
            </w:r>
          </w:p>
        </w:tc>
        <w:tc>
          <w:tcPr>
            <w:tcW w:type="dxa" w:w="308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Substantially reduced</w:t>
            </w:r>
          </w:p>
        </w:tc>
      </w:tr>
      <w:tr>
        <w:tc>
          <w:tcPr>
            <w:tcW w:type="dxa" w:w="308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Total Payment Volume</w:t>
            </w:r>
          </w:p>
        </w:tc>
        <w:tc>
          <w:tcPr>
            <w:tcW w:type="dxa" w:w="308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N/A</w:t>
            </w:r>
          </w:p>
        </w:tc>
        <w:tc>
          <w:tcPr>
            <w:tcW w:type="dxa" w:w="308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$1.36 trillion (2022)</w:t>
            </w:r>
          </w:p>
        </w:tc>
      </w:tr>
      <w:tr>
        <w:tc>
          <w:tcPr>
            <w:tcW w:type="dxa" w:w="308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Detection Speed</w:t>
            </w:r>
          </w:p>
        </w:tc>
        <w:tc>
          <w:tcPr>
            <w:tcW w:type="dxa" w:w="308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Hours (batch review)</w:t>
            </w:r>
          </w:p>
        </w:tc>
        <w:tc>
          <w:tcPr>
            <w:tcW w:type="dxa" w:w="308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Milliseconds</w:t>
            </w:r>
          </w:p>
        </w:tc>
      </w:tr>
    </w:tbl>
    <w:p>
      <w:pPr>
        <w:spacing w:after="300" w:before="80"/>
        <w:ind w:firstLine="0"/>
      </w:pPr>
      <w:r>
        <w:rPr>
          <w:rFonts w:ascii="Times New Roman" w:cs="Times New Roman" w:eastAsia="Times New Roman" w:hAnsi="Times New Roman"/>
          <w:i/>
          <w:iCs/>
          <w:color w:val="595959"/>
          <w:sz w:val="20"/>
          <w:szCs w:val="20"/>
        </w:rPr>
        <w:t xml:space="preserve">Source: PayPal Holdings, Inc.; Morse; “PayPal AI Case Study.”</w:t>
      </w:r>
    </w:p>
    <w:p>
      <w:pPr>
        <w:spacing w:after="150" w:before="300"/>
        <w:ind w:firstLine="0"/>
      </w:pPr>
      <w:r>
        <w:rPr>
          <w:rFonts w:ascii="Times New Roman" w:cs="Times New Roman" w:eastAsia="Times New Roman" w:hAnsi="Times New Roman"/>
          <w:b/>
          <w:bCs/>
          <w:color w:val="0F3D5C"/>
          <w:sz w:val="28"/>
          <w:szCs w:val="28"/>
        </w:rPr>
        <w:t xml:space="preserve">Results and Operational Impact</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shift from rule-based to AI-driven fraud detection produced substantial, quantifiable improvements. The gap between PayPal's 0.32 percent fraud rate and the industry average of roughly 1.00 percent translates to an estimated $9.25 billion in annually avoided fraud losses at PayPal's 2022 payment volume, since an industry-average loss rate would have cost PayPal approximately $13.60 billion against its actual estimated loss of $4.35 billion (“PayPal AI Case Study”; PayPal Holdings, Inc.). This performance gap is a direct consequence of the AI system's ability to detect subtle, multi-signal fraud patterns that rule-based systems cannot identify.</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Blocking legitimate transactions is a hidden but significant cost for any payment platform, and PayPal's behavioral and device intelligence models substantially reduced false positives by building individualized behavioral baselines for each user; a large transaction at an unfamiliar merchant might trigger a generic flag, but the model recognizes it as consistent with that customer's spending history and approves it without friction (Columbus). Research in financial AI confirms that this kind of behavioral personalization results in operational cost savings ranging from 6 to 25 percent of total fraud-related losses (Bahoo et al.). A rule-based system across 200-plus markets would require separate, locally maintained rule sets for each country's fraud landscape, while PayPal's machine learning models generalize across markets by learning from the full breadth of global transaction data while remaining sensitive to local behavioral norms, allowing new markets to be onboarded without rebuilding the detection infrastructure (PayPal Holdings, Inc.). The graph neural network component further enables PayPal to act against entire coordinated fraud operations rather than individual accounts, letting investigators dismantle fraud rings wholesale rather than watching the same actors rotate to new accounts after a single closure (Alarcon et al.).</w:t>
      </w:r>
    </w:p>
    <w:p>
      <w:pPr>
        <w:spacing w:after="150" w:before="300"/>
        <w:ind w:firstLine="0"/>
      </w:pPr>
      <w:r>
        <w:rPr>
          <w:rFonts w:ascii="Times New Roman" w:cs="Times New Roman" w:eastAsia="Times New Roman" w:hAnsi="Times New Roman"/>
          <w:b/>
          <w:bCs/>
          <w:color w:val="0F3D5C"/>
          <w:sz w:val="28"/>
          <w:szCs w:val="28"/>
        </w:rPr>
        <w:t xml:space="preserve">Challenges Encountered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Despite its transformative results, PayPal's AI fraud detection implementation has confronted significant challenges across technical, ethical, regulatory, and operational dimensions.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Machine learning models trained on financial transaction data face a fundamental class imbalance problem: fraudulent transactions represent a tiny fraction of all activity, so a model trained naively on such data can achieve high overall accuracy simply by predicting every transaction as legitimate while still failing to detect the vast majority of actual fraud. Addressing this requires specialized techniques such as oversampling of fraud cases, cost-sensitive loss functions, and precision-recall optimization rather than simple accuracy metrics (Bahoo et al.). Infrastructure latency is an equally pressing constraint, since scoring 45 million daily transactions in under 300 milliseconds each requires a distributed computing architecture with near-zero downtime, making system reliability as operationally critical as model accuracy (Morse).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AI fraud detection systems also carry a meaningful risk of encoding and amplifying demographic bias. If historical fraud-flagging data reflects patterns in which certain customer groups were disproportionately subjected to scrutiny, a model trained on that history may reproduce those inequities at scale, and a customer unfairly declined because their behavioral profile correlates with a high-risk demographic segment faces real harm: a blocked transaction, a frozen account, and the burden of contesting an automated decision whose rationale is invisible to them (“PayPal AI Case Study”). Deep learning models and graph neural networks are also not easy to interpret, and when a transaction is declined the reasoning may trace back to internal calculations that cannot be explained in plain language, with researchers consistently flagging model explainability as one of the biggest open problems in financial AI (Bahoo et al.). A systematic review covering banking, corporate, and capital market contexts finds that interpretability and bias remain persistent challenges with no clear regulatory consensus yet (Yuhertiana and Amin).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Compliance with data protection and financial regulation across 200-plus markets is a continuous engineering and legal challenge. In the European Union, the General Data Protection Regulation restricts how personal behavioral data can be retained, processed, and transferred across borders, while in the United States the Fair Credit Reporting Act and state-level consumer protection statutes impose additional constraints on automated decision-making affecting customers. Designing a fraud detection system that satisfies all of these frameworks simultaneously, without sacrificing the data richness machine learning requires, demands sustained collaboration between data science, legal, and compliance teams (PayPal Holdings, Inc.). Finally, fraudsters are adaptive adversaries: as PayPal's detection system improves, the actors it targets refine their tactics to mimic legitimate behavioral patterns and probe the system's decision boundaries, meaning a model that performs well today cannot be left to run on its own indefinitely (Columbus). Internally, building analyst trust in AI-generated risk scores presents its own challenge, since investigators must be trained to calibrate their reliance on model outputs appropriately, requiring ongoing performance reporting and clear escalation procedures for edge cases (Houston Community College).</w:t>
      </w:r>
    </w:p>
    <w:p>
      <w:pPr>
        <w:spacing w:after="150" w:before="300"/>
        <w:ind w:firstLine="0"/>
      </w:pPr>
      <w:r>
        <w:rPr>
          <w:rFonts w:ascii="Times New Roman" w:cs="Times New Roman" w:eastAsia="Times New Roman" w:hAnsi="Times New Roman"/>
          <w:b/>
          <w:bCs/>
          <w:color w:val="0F3D5C"/>
          <w:sz w:val="28"/>
          <w:szCs w:val="28"/>
        </w:rPr>
        <w:t xml:space="preserve">Conclusion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PayPal's fraud detection platform is one of the most well-documented examples of machine learning applied in financial services. By replacing static rule-based detection with a layered system of deep learning ensembles, graph neural networks, behavioral biometrics, and adaptive retraining pipelines, PayPal achieved a fraud loss rate of approximately 0.32 percent of total payment volume, translating to an estimated $9.25 billion in avoided losses annually compared to the industry average (“PayPal AI Case Study”; PayPal Holdings, Inc.). At $1.36 trillion in annual payment volume, that gap makes a compelling case for AI investment on its own, and it lines up with the broader research finding that machine learning models beat rule-based systems in fraud classification tasks (Bahoo et al.). PayPal's retraining loop also demonstrates a core course concept in action: AI systems improve through exposure to edge cases, and every confirmed fraud case feeds back into the model to sharpen future detection (Houston Community College). For institutions building similar systems, this case study points to four takeaways: data quality is the foundation, since no model performs above the level of the data it is trained on; explainability should be built in early, since adding interpretability after the fact costs far more once regulations tighten; fraud detection is an ongoing challenge rather than a one-time build, since fraudsters adapt continuously; and false positive rates deserve as much attention as fraud losses, since a system that blocks too many legitimate transactions causes its own kind of damage to customer trust.</w:t>
      </w:r>
    </w:p>
    <w:p>
      <w:r>
        <w:br w:type="page"/>
      </w:r>
    </w:p>
    <w:p>
      <w:pPr>
        <w:spacing w:after="240"/>
        <w:ind w:firstLine="0"/>
        <w:jc w:val="center"/>
      </w:pPr>
      <w:r>
        <w:rPr>
          <w:rFonts w:ascii="Times New Roman" w:cs="Times New Roman" w:eastAsia="Times New Roman" w:hAnsi="Times New Roman"/>
          <w:b/>
          <w:bCs/>
          <w:color w:val="0F3D5C"/>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Alarcon, C., et al. </w:t>
      </w:r>
      <w:r>
        <w:rPr>
          <w:rFonts w:ascii="Times New Roman" w:cs="Times New Roman" w:eastAsia="Times New Roman" w:hAnsi="Times New Roman"/>
          <w:sz w:val="24"/>
          <w:szCs w:val="24"/>
        </w:rPr>
        <w:t xml:space="preserve">“Heterogeneous Graph Neural Networks for Fraud Detection and Explanation in Supply Chain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2021,</w:t>
      </w:r>
      <w:r>
        <w:rPr>
          <w:rFonts w:ascii="Times New Roman" w:cs="Times New Roman" w:eastAsia="Times New Roman" w:hAnsi="Times New Roman"/>
          <w:sz w:val="24"/>
          <w:szCs w:val="24"/>
        </w:rPr>
        <w:t xml:space="preserve"> https://arxiv.org/abs/2112.10566.</w:t>
      </w:r>
    </w:p>
    <w:p>
      <w:pPr>
        <w:spacing w:after="200" w:line="480" w:lineRule="auto"/>
        <w:ind w:left="720" w:hanging="720"/>
      </w:pPr>
      <w:r>
        <w:rPr>
          <w:rFonts w:ascii="Times New Roman" w:cs="Times New Roman" w:eastAsia="Times New Roman" w:hAnsi="Times New Roman"/>
          <w:sz w:val="24"/>
          <w:szCs w:val="24"/>
        </w:rPr>
        <w:t xml:space="preserve">Bahoo, S., et al. </w:t>
      </w:r>
      <w:r>
        <w:rPr>
          <w:rFonts w:ascii="Times New Roman" w:cs="Times New Roman" w:eastAsia="Times New Roman" w:hAnsi="Times New Roman"/>
          <w:sz w:val="24"/>
          <w:szCs w:val="24"/>
        </w:rPr>
        <w:t xml:space="preserve">“Artificial Intelligence in Finance: A Comprehensive Review through Bibliometric and Content Analysis.”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SN Business &amp; Economics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vol. 4, article 23,</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https://doi.org/10.1007/s43546-023-00618-x.</w:t>
      </w:r>
    </w:p>
    <w:p>
      <w:pPr>
        <w:spacing w:after="200" w:line="480" w:lineRule="auto"/>
        <w:ind w:left="720" w:hanging="720"/>
      </w:pPr>
      <w:r>
        <w:rPr>
          <w:rFonts w:ascii="Times New Roman" w:cs="Times New Roman" w:eastAsia="Times New Roman" w:hAnsi="Times New Roman"/>
          <w:sz w:val="24"/>
          <w:szCs w:val="24"/>
        </w:rPr>
        <w:t xml:space="preserve">Columbus, Louis. </w:t>
      </w:r>
      <w:r>
        <w:rPr>
          <w:rFonts w:ascii="Times New Roman" w:cs="Times New Roman" w:eastAsia="Times New Roman" w:hAnsi="Times New Roman"/>
          <w:sz w:val="24"/>
          <w:szCs w:val="24"/>
        </w:rPr>
        <w:t xml:space="preserve">“How PayPal Is Using AI to Master Fraud Detection.”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Forbes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10 July 2017,</w:t>
      </w:r>
      <w:r>
        <w:rPr>
          <w:rFonts w:ascii="Times New Roman" w:cs="Times New Roman" w:eastAsia="Times New Roman" w:hAnsi="Times New Roman"/>
          <w:sz w:val="24"/>
          <w:szCs w:val="24"/>
        </w:rPr>
        <w:t xml:space="preserve"> https://www.forbes.com/sites/louiscolumbus/2017/07/10/how-paypal-is-using-ai-to-master-fraud-detection.</w:t>
      </w:r>
    </w:p>
    <w:p>
      <w:pPr>
        <w:spacing w:after="200" w:line="480" w:lineRule="auto"/>
        <w:ind w:left="720" w:hanging="720"/>
      </w:pPr>
      <w:r>
        <w:rPr>
          <w:rFonts w:ascii="Times New Roman" w:cs="Times New Roman" w:eastAsia="Times New Roman" w:hAnsi="Times New Roman"/>
          <w:sz w:val="24"/>
          <w:szCs w:val="24"/>
        </w:rPr>
        <w:t xml:space="preserve">Houston Community College. </w:t>
      </w:r>
      <w:r>
        <w:rPr>
          <w:rFonts w:ascii="Times New Roman" w:cs="Times New Roman" w:eastAsia="Times New Roman" w:hAnsi="Times New Roman"/>
          <w:sz w:val="24"/>
          <w:szCs w:val="24"/>
        </w:rPr>
        <w:t xml:space="preserve">ITAI 2372: Artificial Intelligence Applications.</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Course lecture material.</w:t>
      </w:r>
    </w:p>
    <w:p>
      <w:pPr>
        <w:spacing w:after="200" w:line="480" w:lineRule="auto"/>
        <w:ind w:left="720" w:hanging="720"/>
      </w:pPr>
      <w:r>
        <w:rPr>
          <w:rFonts w:ascii="Times New Roman" w:cs="Times New Roman" w:eastAsia="Times New Roman" w:hAnsi="Times New Roman"/>
          <w:sz w:val="24"/>
          <w:szCs w:val="24"/>
        </w:rPr>
        <w:t xml:space="preserve">Morse, Jack. </w:t>
      </w:r>
      <w:r>
        <w:rPr>
          <w:rFonts w:ascii="Times New Roman" w:cs="Times New Roman" w:eastAsia="Times New Roman" w:hAnsi="Times New Roman"/>
          <w:sz w:val="24"/>
          <w:szCs w:val="24"/>
        </w:rPr>
        <w:t xml:space="preserve">“How PayPal Uses Machine Learning to Spot Fraud Before It Happens.”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Mashable</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15 Mar. 2019,</w:t>
      </w:r>
      <w:r>
        <w:rPr>
          <w:rFonts w:ascii="Times New Roman" w:cs="Times New Roman" w:eastAsia="Times New Roman" w:hAnsi="Times New Roman"/>
          <w:sz w:val="24"/>
          <w:szCs w:val="24"/>
        </w:rPr>
        <w:t xml:space="preserve"> https://mashable.com/article/paypal-fraud-detection-machine-learning.</w:t>
      </w:r>
    </w:p>
    <w:p>
      <w:pPr>
        <w:spacing w:after="200" w:line="480" w:lineRule="auto"/>
        <w:ind w:left="720" w:hanging="720"/>
      </w:pPr>
      <w:r>
        <w:rPr>
          <w:rFonts w:ascii="Times New Roman" w:cs="Times New Roman" w:eastAsia="Times New Roman" w:hAnsi="Times New Roman"/>
          <w:sz w:val="24"/>
          <w:szCs w:val="24"/>
        </w:rPr>
        <w:t xml:space="preserve">“PayPal AI Case Study [2024]: Revolutionizing Digital Payments.”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DigitalDefynd</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https://digitaldefynd.com/IQ/paypal-ai-case-study.</w:t>
      </w:r>
    </w:p>
    <w:p>
      <w:pPr>
        <w:spacing w:after="200" w:line="480" w:lineRule="auto"/>
        <w:ind w:left="720" w:hanging="720"/>
      </w:pPr>
      <w:r>
        <w:rPr>
          <w:rFonts w:ascii="Times New Roman" w:cs="Times New Roman" w:eastAsia="Times New Roman" w:hAnsi="Times New Roman"/>
          <w:sz w:val="24"/>
          <w:szCs w:val="24"/>
        </w:rPr>
        <w:t xml:space="preserve">PayPal Holdings, Inc. </w:t>
      </w:r>
      <w:r>
        <w:rPr>
          <w:rFonts w:ascii="Times New Roman" w:cs="Times New Roman" w:eastAsia="Times New Roman" w:hAnsi="Times New Roman"/>
          <w:sz w:val="24"/>
          <w:szCs w:val="24"/>
        </w:rPr>
        <w:t xml:space="preserve">“2022 Annual Report.”</w:t>
      </w:r>
      <w:r>
        <w:rPr>
          <w:rFonts w:ascii="Times New Roman" w:cs="Times New Roman" w:eastAsia="Times New Roman" w:hAnsi="Times New Roman"/>
          <w:sz w:val="24"/>
          <w:szCs w:val="24"/>
        </w:rPr>
        <w:t xml:space="preserve"> 2023,</w:t>
      </w:r>
      <w:r>
        <w:rPr>
          <w:rFonts w:ascii="Times New Roman" w:cs="Times New Roman" w:eastAsia="Times New Roman" w:hAnsi="Times New Roman"/>
          <w:sz w:val="24"/>
          <w:szCs w:val="24"/>
        </w:rPr>
        <w:t xml:space="preserve"> https://investor.pypl.com/annual-reports.</w:t>
      </w:r>
    </w:p>
    <w:p>
      <w:pPr>
        <w:spacing w:after="200" w:line="480" w:lineRule="auto"/>
        <w:ind w:left="720" w:hanging="720"/>
      </w:pPr>
      <w:r>
        <w:rPr>
          <w:rFonts w:ascii="Times New Roman" w:cs="Times New Roman" w:eastAsia="Times New Roman" w:hAnsi="Times New Roman"/>
          <w:sz w:val="24"/>
          <w:szCs w:val="24"/>
        </w:rPr>
        <w:t xml:space="preserve">Rodríguez Barrero, M. S. </w:t>
      </w:r>
      <w:r>
        <w:rPr>
          <w:rFonts w:ascii="Times New Roman" w:cs="Times New Roman" w:eastAsia="Times New Roman" w:hAnsi="Times New Roman"/>
          <w:sz w:val="24"/>
          <w:szCs w:val="24"/>
        </w:rPr>
        <w:t xml:space="preserve">“Financial Fraud Detection through the Application of Machine Learning Techniques: A Literature Review.”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Humanities and Social Sciences Communications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vol. 11, no. 1, article 1130,</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https://doi.org/10.1057/s41599-024-03606-0.</w:t>
      </w:r>
    </w:p>
    <w:p>
      <w:pPr>
        <w:spacing w:after="200" w:line="480" w:lineRule="auto"/>
        <w:ind w:left="720" w:hanging="720"/>
      </w:pPr>
      <w:r>
        <w:rPr>
          <w:rFonts w:ascii="Times New Roman" w:cs="Times New Roman" w:eastAsia="Times New Roman" w:hAnsi="Times New Roman"/>
          <w:sz w:val="24"/>
          <w:szCs w:val="24"/>
        </w:rPr>
        <w:t xml:space="preserve">Yuhertiana, I., and A. H. Amin. </w:t>
      </w:r>
      <w:r>
        <w:rPr>
          <w:rFonts w:ascii="Times New Roman" w:cs="Times New Roman" w:eastAsia="Times New Roman" w:hAnsi="Times New Roman"/>
          <w:sz w:val="24"/>
          <w:szCs w:val="24"/>
        </w:rPr>
        <w:t xml:space="preserve">“Artificial Intelligence Driven Approaches for Financial Fraud Detection: A Systematic Literature Review.”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KnE Social Sciences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pp. 448-68,,</w:t>
      </w:r>
      <w:r>
        <w:rPr>
          <w:rFonts w:ascii="Times New Roman" w:cs="Times New Roman" w:eastAsia="Times New Roman" w:hAnsi="Times New Roman"/>
          <w:sz w:val="24"/>
          <w:szCs w:val="24"/>
        </w:rPr>
        <w:t xml:space="preserve"> https://kneopen.com/KnE-Social/article/view/16551/.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2026-07-24T04:00:29.491Z</dcterms:created>
  <dcterms:modified xsi:type="dcterms:W3CDTF">2026-07-24T04:00:29.491Z</dcterms:modified>
</cp:coreProperties>
</file>

<file path=docProps/custom.xml><?xml version="1.0" encoding="utf-8"?>
<Properties xmlns="http://schemas.openxmlformats.org/officeDocument/2006/custom-properties" xmlns:vt="http://schemas.openxmlformats.org/officeDocument/2006/docPropsVTypes"/>
</file>