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2937"/>
          <w:sz w:val="30"/>
          <w:szCs w:val="30"/>
        </w:rPr>
        <w:t xml:space="preserve">STRATÉGIE DE LANCEMENT</w:t>
      </w:r>
    </w:p>
    <w:p>
      <w:pPr>
        <w:spacing w:after="200"/>
        <w:jc w:val="center"/>
      </w:pPr>
      <w:r>
        <w:rPr>
          <w:b/>
          <w:bCs/>
          <w:color w:val="9C6B1F"/>
          <w:sz w:val="52"/>
          <w:szCs w:val="52"/>
        </w:rPr>
        <w:t xml:space="preserve">Conciergerie de luxe au Kenya</w:t>
      </w:r>
    </w:p>
    <w:p>
      <w:pPr>
        <w:spacing w:after="800"/>
        <w:jc w:val="center"/>
      </w:pPr>
      <w:r>
        <w:rPr>
          <w:i/>
          <w:iCs/>
          <w:color w:val="6B7280"/>
          <w:sz w:val="22"/>
          <w:szCs w:val="22"/>
        </w:rPr>
        <w:t xml:space="preserve">Business plan, cadre réglementaire et architecture des 3 applications (Client / Concierge / Board)</w:t>
      </w:r>
    </w:p>
    <w:p>
      <w:pPr>
        <w:jc w:val="center"/>
      </w:pPr>
      <w:r>
        <w:rPr>
          <w:color w:val="6B7280"/>
          <w:sz w:val="20"/>
          <w:szCs w:val="20"/>
        </w:rPr>
        <w:t xml:space="preserve">Préparé pour Coraline Flobinus — Juillet 2026</w:t>
      </w:r>
    </w:p>
    <w:p>
      <w:r>
        <w:br w:type="page"/>
      </w:r>
    </w:p>
    <w:p>
      <w:pPr>
        <w:pStyle w:val="Heading1"/>
        <w:spacing w:after="160" w:before="360"/>
      </w:pPr>
      <w:r>
        <w:t xml:space="preserve">1. Résumé exécutif</w:t>
      </w:r>
    </w:p>
    <w:p>
      <w:pPr>
        <w:spacing w:after="160"/>
      </w:pPr>
      <w:r>
        <w:t xml:space="preserve">Le Kenya, et Nairobi en particulier, s'impose comme le hub financier et diplomatique de l'Afrique de l'Est : marché immobilier prime classé devant Miami et Pékin par Knight Frank/Citi Private Bank, forte présence d'expatriés, de diplomates et de sièges régionaux d'entreprises internationales. Le marché des family offices y reste étroit (environ 7 200 à 8 300 HNWI, 330 multimillionnaires), mais celui d'une conciergerie de lifestyle est structurellement plus large : cadres, diplomates, expatriés, dirigeants, touristes haut de gamme et plus de 358 000 Kenyans à hauts revenus (100 000 KES/mois et plus).</w:t>
      </w:r>
    </w:p>
    <w:p>
      <w:pPr>
        <w:spacing w:after="160"/>
      </w:pPr>
      <w:r>
        <w:t xml:space="preserve">La barrière réglementaire est faible (pas d'agrément CMA nécessaire, contrairement à un family office gérant des mandats), ce qui permet un lancement rapide. Des acteurs existent déjà (A&amp;M Concierge, The Aurelia Concierge), ce qui valide la demande mais impose de choisir un angle de différenciation clair : une conciergerie pensée mobile-first, avec trois applications dédiées (client, concierge, direction/board), plutôt qu'un service uniquement téléphonique ou WhatsApp comme la majorité des acteurs locaux.</w:t>
      </w:r>
    </w:p>
    <w:p>
      <w:pPr>
        <w:pStyle w:val="Heading1"/>
        <w:spacing w:after="160" w:before="360"/>
      </w:pPr>
      <w:r>
        <w:t xml:space="preserve">2. Positionnement et segments cibles</w:t>
      </w:r>
    </w:p>
    <w:p>
      <w:pPr>
        <w:pStyle w:val="Heading2"/>
        <w:spacing w:after="120" w:before="280"/>
      </w:pPr>
      <w:r>
        <w:t xml:space="preserve">2.1 Segments prioritaires</w:t>
      </w:r>
    </w:p>
    <w:p>
      <w:pPr>
        <w:pStyle w:val="ListParagraph"/>
        <w:numPr>
          <w:ilvl w:val="0"/>
          <w:numId w:val="2"/>
        </w:numPr>
        <w:spacing w:after="80"/>
      </w:pPr>
      <w:r>
        <w:t xml:space="preserve">Expatriés et diplomates à Nairobi — besoin récurrent de logistique fiable et discrète (logement, sécurité, école, santé, voyages).</w:t>
      </w:r>
    </w:p>
    <w:p>
      <w:pPr>
        <w:pStyle w:val="ListParagraph"/>
        <w:numPr>
          <w:ilvl w:val="0"/>
          <w:numId w:val="2"/>
        </w:numPr>
        <w:spacing w:after="80"/>
      </w:pPr>
      <w:r>
        <w:t xml:space="preserve">Cadres dirigeants et entreprises multinationales — contrats B2B pour la mobilité de leurs exécutifs (relocation, déplacements, événementiel d'entreprise).</w:t>
      </w:r>
    </w:p>
    <w:p>
      <w:pPr>
        <w:pStyle w:val="ListParagraph"/>
        <w:numPr>
          <w:ilvl w:val="0"/>
          <w:numId w:val="2"/>
        </w:numPr>
        <w:spacing w:after="80"/>
      </w:pPr>
      <w:r>
        <w:t xml:space="preserve">HNWI et familles fortunées locales — service premium personnalisé, passerelle naturelle vers des offres patrimoniales plus poussées à terme.</w:t>
      </w:r>
    </w:p>
    <w:p>
      <w:pPr>
        <w:pStyle w:val="ListParagraph"/>
        <w:numPr>
          <w:ilvl w:val="0"/>
          <w:numId w:val="2"/>
        </w:numPr>
        <w:spacing w:after="80"/>
      </w:pPr>
      <w:r>
        <w:t xml:space="preserve">Touristes haut de gamme et voyageurs d'affaires — safaris sur mesure, transferts, réservations exclusives, séjours courts.</w:t>
      </w:r>
    </w:p>
    <w:p>
      <w:pPr>
        <w:pStyle w:val="Heading2"/>
        <w:spacing w:after="120" w:before="280"/>
      </w:pPr>
      <w:r>
        <w:t xml:space="preserve">2.2 Différenciation</w:t>
      </w:r>
    </w:p>
    <w:p>
      <w:pPr>
        <w:spacing w:after="160"/>
      </w:pPr>
      <w:r>
        <w:t xml:space="preserve">Les acteurs existants opèrent essentiellement en mode humain/manuel (téléphone, WhatsApp, e-mail). L'opportunité est de structurer l'offre autour d'une plateforme technologique qui professionnalise le suivi (SLA mesurables, traçabilité des demandes, paiement intégré M-Pesa et carte), tout en gardant le haut niveau de discrétion et de personnalisation attendu par cette clientèle. Le positionnement doit rester premium et humain — la techno est un outil de fiabilité, jamais un substitut au relationnel.</w:t>
      </w:r>
    </w:p>
    <w:p>
      <w:pPr>
        <w:pStyle w:val="Heading1"/>
        <w:spacing w:after="160" w:before="360"/>
      </w:pPr>
      <w:r>
        <w:t xml:space="preserve">3. Modèle économique</w:t>
      </w:r>
    </w:p>
    <w:p>
      <w:pPr>
        <w:pStyle w:val="Heading2"/>
        <w:spacing w:after="120" w:before="280"/>
      </w:pPr>
      <w:r>
        <w:t xml:space="preserve">3.1 Sources de revenus</w:t>
      </w:r>
    </w:p>
    <w:p>
      <w:pPr>
        <w:pStyle w:val="ListParagraph"/>
        <w:numPr>
          <w:ilvl w:val="0"/>
          <w:numId w:val="2"/>
        </w:numPr>
        <w:spacing w:after="80"/>
      </w:pPr>
      <w:r>
        <w:t xml:space="preserve">Abonnements membres (Silver / Gold / Platinum) — accès à un nombre croissant de demandes mensuelles incluses, temps de réponse garanti, concierge dédié pour le tier Platinum.</w:t>
      </w:r>
    </w:p>
    <w:p>
      <w:pPr>
        <w:pStyle w:val="ListParagraph"/>
        <w:numPr>
          <w:ilvl w:val="0"/>
          <w:numId w:val="2"/>
        </w:numPr>
        <w:spacing w:after="80"/>
      </w:pPr>
      <w:r>
        <w:t xml:space="preserve">Frais à la demande (pay-per-request) pour les non-membres ou les demandes hors forfait.</w:t>
      </w:r>
    </w:p>
    <w:p>
      <w:pPr>
        <w:pStyle w:val="ListParagraph"/>
        <w:numPr>
          <w:ilvl w:val="0"/>
          <w:numId w:val="2"/>
        </w:numPr>
        <w:spacing w:after="80"/>
      </w:pPr>
      <w:r>
        <w:t xml:space="preserve">Contrats B2B avec entreprises et ambassades pour la mobilité de leurs cadres/agents (facturation forfaitaire annuelle par nombre de bénéficiaires).</w:t>
      </w:r>
    </w:p>
    <w:p>
      <w:pPr>
        <w:pStyle w:val="ListParagraph"/>
        <w:numPr>
          <w:ilvl w:val="0"/>
          <w:numId w:val="2"/>
        </w:numPr>
        <w:spacing w:after="80"/>
      </w:pPr>
      <w:r>
        <w:t xml:space="preserve">Commissions sur le réseau de partenaires (hôtels, restaurants, aviation privée, agences immobilières, sécurité, santé) — 10 à 20 % selon la catégorie, standard du secteur.</w:t>
      </w:r>
    </w:p>
    <w:p>
      <w:pPr>
        <w:pStyle w:val="Heading2"/>
        <w:spacing w:after="120" w:before="280"/>
      </w:pPr>
      <w:r>
        <w:t xml:space="preserve">3.2 Partenariats clés à sécuriser dès le lancement</w:t>
      </w:r>
    </w:p>
    <w:p>
      <w:pPr>
        <w:pStyle w:val="ListParagraph"/>
        <w:numPr>
          <w:ilvl w:val="0"/>
          <w:numId w:val="2"/>
        </w:numPr>
        <w:spacing w:after="80"/>
      </w:pPr>
      <w:r>
        <w:t xml:space="preserve">Hôtellerie 5 étoiles et resorts (Nairobi, Diani, Maasai Mara) pour réservations prioritaires.</w:t>
      </w:r>
    </w:p>
    <w:p>
      <w:pPr>
        <w:pStyle w:val="ListParagraph"/>
        <w:numPr>
          <w:ilvl w:val="0"/>
          <w:numId w:val="2"/>
        </w:numPr>
        <w:spacing w:after="80"/>
      </w:pPr>
      <w:r>
        <w:t xml:space="preserve">Compagnies aériennes et opérateurs d'aviation privée/jets pour les transferts VIP.</w:t>
      </w:r>
    </w:p>
    <w:p>
      <w:pPr>
        <w:pStyle w:val="ListParagraph"/>
        <w:numPr>
          <w:ilvl w:val="0"/>
          <w:numId w:val="2"/>
        </w:numPr>
        <w:spacing w:after="80"/>
      </w:pPr>
      <w:r>
        <w:t xml:space="preserve">Sociétés de sécurité rapprochée et d'escorte (déjà un service standard du marché kenyan).</w:t>
      </w:r>
    </w:p>
    <w:p>
      <w:pPr>
        <w:pStyle w:val="ListParagraph"/>
        <w:numPr>
          <w:ilvl w:val="0"/>
          <w:numId w:val="2"/>
        </w:numPr>
        <w:spacing w:after="80"/>
      </w:pPr>
      <w:r>
        <w:t xml:space="preserve">Cliniques privées et services d'évacuation médicale.</w:t>
      </w:r>
    </w:p>
    <w:p>
      <w:pPr>
        <w:pStyle w:val="ListParagraph"/>
        <w:numPr>
          <w:ilvl w:val="0"/>
          <w:numId w:val="2"/>
        </w:numPr>
        <w:spacing w:after="80"/>
      </w:pPr>
      <w:r>
        <w:t xml:space="preserve">Agences immobilières de standing pour le logement des expatriés.</w:t>
      </w:r>
    </w:p>
    <w:p>
      <w:pPr>
        <w:pStyle w:val="Heading1"/>
        <w:spacing w:after="160" w:before="360"/>
      </w:pPr>
      <w:r>
        <w:t xml:space="preserve">4. Cadre juridique et réglementaire</w:t>
      </w:r>
    </w:p>
    <w:p>
      <w:pPr>
        <w:pStyle w:val="Heading2"/>
        <w:spacing w:after="120" w:before="280"/>
      </w:pPr>
      <w:r>
        <w:t xml:space="preserve">4.1 Constitution de la société</w:t>
      </w:r>
    </w:p>
    <w:p>
      <w:pPr>
        <w:spacing w:after="160"/>
      </w:pPr>
      <w:r>
        <w:t xml:space="preserve">L'enregistrement se fait via le portail eCitizen (Business Registration Service). Il faut effectuer une recherche de nom (150 KES), choisir la structure — une Private Limited Company est recommandée pour une conciergerie destinée à grandir et lever des fonds — puis déposer les formulaires CR1, CR2 (Memorandum of Association), CR8 (adresse des dirigeants) et le Statement of Nominal Capital, accompagnés des PIN KRA et pièces d'identité de tous les actionnaires/dirigeants. Le coût tourne autour de 10 000 à 10 650 KES (droits de timbre inclus), pour un certificat d'incorporation délivré en 5 à 14 jours ouvrés.</w:t>
      </w:r>
    </w:p>
    <w:p>
      <w:pPr>
        <w:spacing w:after="160"/>
      </w:pPr>
      <w:r>
        <w:t xml:space="preserve">Étapes post-incorporation : activation des obligations KRA (TVA si le chiffre d'affaires dépasse 5M KES, impôt sur les sociétés, PAYE), enregistrement eTIMS, affiliation NSSF et SHIF pour les employés, paiement de l'Affordable Housing Levy (1,5 %), et obtention du permis d'exploitation unique (single business permit) auprès du comté (Nairobi City County).</w:t>
      </w:r>
    </w:p>
    <w:p>
      <w:pPr>
        <w:pStyle w:val="Heading2"/>
        <w:spacing w:after="120" w:before="280"/>
      </w:pPr>
      <w:r>
        <w:t xml:space="preserve">4.2 Fondateur étranger</w:t>
      </w:r>
    </w:p>
    <w:p>
      <w:pPr>
        <w:spacing w:after="160"/>
      </w:pPr>
      <w:r>
        <w:t xml:space="preserve">Si l'un des fondateurs n'est pas résident kenyan, un permis d'investisseur de Classe G est nécessaire pour résider et diriger l'activité sur place (frais de dossier 20 000 KES, frais annuel 250 000 KES).</w:t>
      </w:r>
    </w:p>
    <w:p>
      <w:pPr>
        <w:pStyle w:val="Heading2"/>
        <w:spacing w:after="120" w:before="280"/>
      </w:pPr>
      <w:r>
        <w:t xml:space="preserve">4.3 Protection des données (obligatoire pour les 3 applications)</w:t>
      </w:r>
    </w:p>
    <w:p>
      <w:pPr>
        <w:spacing w:after="160"/>
      </w:pPr>
      <w:r>
        <w:t xml:space="preserve">Les trois applications traiteront des données personnelles sensibles (localisation, habitudes de vie, informations de paiement, parfois données de santé pour l'assistance médicale). L'enregistrement auprès de l'Office of the Data Protection Commissioner (ODPC) est obligatoire dès lors que l'entreprise traite des données de plus de 10 000 personnes par an, emploie plus de 10 personnes, dépasse 5M KES de chiffre d'affaires, ou traite des données sensibles — ce qui sera le cas dès le lancement compte tenu de la nature du service. Il faut prévoir : politique de confidentialité conforme au Data Protection Act 2019, gestion du consentement, procédure de notification de violation de données, et clauses de transfert transfrontalier si les données sont hébergées hors du Kenya. Les sanctions peuvent atteindre 5M KES ou 1 % du chiffre d'affaires annuel.</w:t>
      </w:r>
    </w:p>
    <w:p>
      <w:pPr>
        <w:pStyle w:val="Heading2"/>
        <w:spacing w:after="120" w:before="280"/>
      </w:pPr>
      <w:r>
        <w:t xml:space="preserve">4.4 Paiements</w:t>
      </w:r>
    </w:p>
    <w:p>
      <w:pPr>
        <w:spacing w:after="160"/>
      </w:pPr>
      <w:r>
        <w:t xml:space="preserve">L'intégration M-Pesa (API Daraja de Safaricom) est indispensable — plus de 65 millions d'utilisateurs actifs sur ce réseau. Elle nécessite un numéro Paybill ou Till enregistré, lui-même conditionné à la certification d'incorporation, au PIN KRA et à un compte bancaire d'entreprise. Le flux STK Push (paiement déclenché depuis l'app, confirmation par code PIN sur le téléphone du client) est le plus adapté à l'app client. Pour la clientèle internationale, un complément par carte bancaire via un agrégateur (Pesapal, Flutterwave) est recommandé.</w:t>
      </w:r>
    </w:p>
    <w:p>
      <w:pPr>
        <w:pStyle w:val="Heading1"/>
        <w:spacing w:after="160" w:before="360"/>
      </w:pPr>
      <w:r>
        <w:t xml:space="preserve">5. Architecture des trois applications</w:t>
      </w:r>
    </w:p>
    <w:p>
      <w:pPr>
        <w:spacing w:after="160"/>
      </w:pPr>
      <w:r>
        <w:t xml:space="preserve">Recommandation technique : développer les apps Client et Concierge en mobile natif ou cross-platform (React Native ou Flutter) pour réduire les coûts de développement en les mutualisant sur iOS/Android, et concevoir l'app Board comme un portail web sécurisé plutôt qu'une application mobile native — plus rapide à faire évoluer, accessible depuis n'importe quel poste, sans compromis sur le besoin d'une interface dédiée à la direction.</w:t>
      </w:r>
    </w:p>
    <w:p>
      <w:pPr>
        <w:pStyle w:val="Heading2"/>
        <w:spacing w:after="120" w:before="280"/>
      </w:pPr>
      <w:r>
        <w:t xml:space="preserve">5.1 Application Client</w:t>
      </w:r>
    </w:p>
    <w:p>
      <w:pPr>
        <w:spacing w:after="160"/>
      </w:pPr>
      <w:r>
        <w:t xml:space="preserve">Objectif : permettre au membre de formuler une demande en quelques secondes et suivre son exécution en temps réel.</w:t>
      </w:r>
    </w:p>
    <w:p>
      <w:pPr>
        <w:pStyle w:val="ListParagraph"/>
        <w:numPr>
          <w:ilvl w:val="0"/>
          <w:numId w:val="2"/>
        </w:numPr>
        <w:spacing w:after="80"/>
      </w:pPr>
      <w:r>
        <w:t xml:space="preserve">Catalogue de services par catégorie (voyages, restauration, immobilier, événementiel, sécurité, santé, éducation, achats personnels).</w:t>
      </w:r>
    </w:p>
    <w:p>
      <w:pPr>
        <w:pStyle w:val="ListParagraph"/>
        <w:numPr>
          <w:ilvl w:val="0"/>
          <w:numId w:val="2"/>
        </w:numPr>
        <w:spacing w:after="80"/>
      </w:pPr>
      <w:r>
        <w:t xml:space="preserve">Formulation de la demande par formulaire guidé ou chat direct avec le concierge assigné.</w:t>
      </w:r>
    </w:p>
    <w:p>
      <w:pPr>
        <w:pStyle w:val="ListParagraph"/>
        <w:numPr>
          <w:ilvl w:val="0"/>
          <w:numId w:val="2"/>
        </w:numPr>
        <w:spacing w:after="80"/>
      </w:pPr>
      <w:r>
        <w:t xml:space="preserve">Suivi en temps réel du statut (reçue → acceptée → en cours → complétée).</w:t>
      </w:r>
    </w:p>
    <w:p>
      <w:pPr>
        <w:pStyle w:val="ListParagraph"/>
        <w:numPr>
          <w:ilvl w:val="0"/>
          <w:numId w:val="2"/>
        </w:numPr>
        <w:spacing w:after="80"/>
      </w:pPr>
      <w:r>
        <w:t xml:space="preserve">Paiement intégré (M-Pesa STK Push + carte bancaire), historique de facturation.</w:t>
      </w:r>
    </w:p>
    <w:p>
      <w:pPr>
        <w:pStyle w:val="ListParagraph"/>
        <w:numPr>
          <w:ilvl w:val="0"/>
          <w:numId w:val="2"/>
        </w:numPr>
        <w:spacing w:after="80"/>
      </w:pPr>
      <w:r>
        <w:t xml:space="preserve">Gestion de l'abonnement (tier, quota de demandes restant, options premium).</w:t>
      </w:r>
    </w:p>
    <w:p>
      <w:pPr>
        <w:pStyle w:val="ListParagraph"/>
        <w:numPr>
          <w:ilvl w:val="0"/>
          <w:numId w:val="2"/>
        </w:numPr>
        <w:spacing w:after="80"/>
      </w:pPr>
      <w:r>
        <w:t xml:space="preserve">Profil et préférences (allergies, compagnies aériennes favorites, tailles, contacts d'urgence) pour personnaliser chaque demande sans avoir à tout répéter.</w:t>
      </w:r>
    </w:p>
    <w:p>
      <w:pPr>
        <w:pStyle w:val="ListParagraph"/>
        <w:numPr>
          <w:ilvl w:val="0"/>
          <w:numId w:val="2"/>
        </w:numPr>
        <w:spacing w:after="80"/>
      </w:pPr>
      <w:r>
        <w:t xml:space="preserve">Notifications push et bilingue anglais/swahili.</w:t>
      </w:r>
    </w:p>
    <w:p>
      <w:pPr>
        <w:pStyle w:val="ListParagraph"/>
        <w:numPr>
          <w:ilvl w:val="0"/>
          <w:numId w:val="2"/>
        </w:numPr>
        <w:spacing w:after="80"/>
      </w:pPr>
      <w:r>
        <w:t xml:space="preserve">Programme de fidélité / avantages partenaires.</w:t>
      </w:r>
    </w:p>
    <w:p>
      <w:pPr>
        <w:pStyle w:val="Heading2"/>
        <w:spacing w:after="120" w:before="280"/>
      </w:pPr>
      <w:r>
        <w:t xml:space="preserve">5.2 Application Concierge</w:t>
      </w:r>
    </w:p>
    <w:p>
      <w:pPr>
        <w:spacing w:after="160"/>
      </w:pPr>
      <w:r>
        <w:t xml:space="preserve">Objectif : outil de travail quotidien de l'équipe opérationnelle, pensé comme un système de dispatch.</w:t>
      </w:r>
    </w:p>
    <w:p>
      <w:pPr>
        <w:pStyle w:val="ListParagraph"/>
        <w:numPr>
          <w:ilvl w:val="0"/>
          <w:numId w:val="2"/>
        </w:numPr>
        <w:spacing w:after="80"/>
      </w:pPr>
      <w:r>
        <w:t xml:space="preserve">File de tâches assignées avec priorité et échéance (SLA).</w:t>
      </w:r>
    </w:p>
    <w:p>
      <w:pPr>
        <w:pStyle w:val="ListParagraph"/>
        <w:numPr>
          <w:ilvl w:val="0"/>
          <w:numId w:val="2"/>
        </w:numPr>
        <w:spacing w:after="80"/>
      </w:pPr>
      <w:r>
        <w:t xml:space="preserve">Fiche de demande complète : historique client, préférences, contraintes budgétaires.</w:t>
      </w:r>
    </w:p>
    <w:p>
      <w:pPr>
        <w:pStyle w:val="ListParagraph"/>
        <w:numPr>
          <w:ilvl w:val="0"/>
          <w:numId w:val="2"/>
        </w:numPr>
        <w:spacing w:after="80"/>
      </w:pPr>
      <w:r>
        <w:t xml:space="preserve">Canal de communication direct avec le client (chat/appel) et avec les partenaires (hôtels, restaurants, sécurité).</w:t>
      </w:r>
    </w:p>
    <w:p>
      <w:pPr>
        <w:pStyle w:val="ListParagraph"/>
        <w:numPr>
          <w:ilvl w:val="0"/>
          <w:numId w:val="2"/>
        </w:numPr>
        <w:spacing w:after="80"/>
      </w:pPr>
      <w:r>
        <w:t xml:space="preserve">Mise à jour de statut en un geste, avec preuve d'exécution (photo, confirmation de réservation).</w:t>
      </w:r>
    </w:p>
    <w:p>
      <w:pPr>
        <w:pStyle w:val="ListParagraph"/>
        <w:numPr>
          <w:ilvl w:val="0"/>
          <w:numId w:val="2"/>
        </w:numPr>
        <w:spacing w:after="80"/>
      </w:pPr>
      <w:r>
        <w:t xml:space="preserve">Annuaire des partenaires avec contacts directs et conditions négociées.</w:t>
      </w:r>
    </w:p>
    <w:p>
      <w:pPr>
        <w:pStyle w:val="ListParagraph"/>
        <w:numPr>
          <w:ilvl w:val="0"/>
          <w:numId w:val="2"/>
        </w:numPr>
        <w:spacing w:after="80"/>
      </w:pPr>
      <w:r>
        <w:t xml:space="preserve">Suivi des dépenses engagées pour le compte du client et justificatifs.</w:t>
      </w:r>
    </w:p>
    <w:p>
      <w:pPr>
        <w:pStyle w:val="ListParagraph"/>
        <w:numPr>
          <w:ilvl w:val="0"/>
          <w:numId w:val="2"/>
        </w:numPr>
        <w:spacing w:after="80"/>
      </w:pPr>
      <w:r>
        <w:t xml:space="preserve">Gestion de disponibilité et planning de l'équipe.</w:t>
      </w:r>
    </w:p>
    <w:p>
      <w:pPr>
        <w:pStyle w:val="Heading2"/>
        <w:spacing w:after="120" w:before="280"/>
      </w:pPr>
      <w:r>
        <w:t xml:space="preserve">5.3 Application Board (direction)</w:t>
      </w:r>
    </w:p>
    <w:p>
      <w:pPr>
        <w:spacing w:after="160"/>
      </w:pPr>
      <w:r>
        <w:t xml:space="preserve">Objectif : donner à la direction une vision consolidée de l'activité pour piloter la qualité de service et la rentabilité.</w:t>
      </w:r>
    </w:p>
    <w:p>
      <w:pPr>
        <w:pStyle w:val="ListParagraph"/>
        <w:numPr>
          <w:ilvl w:val="0"/>
          <w:numId w:val="2"/>
        </w:numPr>
        <w:spacing w:after="80"/>
      </w:pPr>
      <w:r>
        <w:t xml:space="preserve">Tableau de bord des indicateurs clés : nombre de membres actifs, volume de demandes, temps de réponse moyen, taux de résolution, chiffre d'affaires, churn.</w:t>
      </w:r>
    </w:p>
    <w:p>
      <w:pPr>
        <w:pStyle w:val="ListParagraph"/>
        <w:numPr>
          <w:ilvl w:val="0"/>
          <w:numId w:val="2"/>
        </w:numPr>
        <w:spacing w:after="80"/>
      </w:pPr>
      <w:r>
        <w:t xml:space="preserve">Vue CRM des membres (historique, valeur vie client, tier d'abonnement).</w:t>
      </w:r>
    </w:p>
    <w:p>
      <w:pPr>
        <w:pStyle w:val="ListParagraph"/>
        <w:numPr>
          <w:ilvl w:val="0"/>
          <w:numId w:val="2"/>
        </w:numPr>
        <w:spacing w:after="80"/>
      </w:pPr>
      <w:r>
        <w:t xml:space="preserve">Suivi de la performance de l'équipe concierge (charge, délais, satisfaction client).</w:t>
      </w:r>
    </w:p>
    <w:p>
      <w:pPr>
        <w:pStyle w:val="ListParagraph"/>
        <w:numPr>
          <w:ilvl w:val="0"/>
          <w:numId w:val="2"/>
        </w:numPr>
        <w:spacing w:after="80"/>
      </w:pPr>
      <w:r>
        <w:t xml:space="preserve">Reporting financier consolidé, réconciliation des paiements M-Pesa/carte.</w:t>
      </w:r>
    </w:p>
    <w:p>
      <w:pPr>
        <w:pStyle w:val="ListParagraph"/>
        <w:numPr>
          <w:ilvl w:val="0"/>
          <w:numId w:val="2"/>
        </w:numPr>
        <w:spacing w:after="80"/>
      </w:pPr>
      <w:r>
        <w:t xml:space="preserve">Gestion du réseau de partenaires et suivi des commissions dues.</w:t>
      </w:r>
    </w:p>
    <w:p>
      <w:pPr>
        <w:pStyle w:val="ListParagraph"/>
        <w:numPr>
          <w:ilvl w:val="0"/>
          <w:numId w:val="2"/>
        </w:numPr>
        <w:spacing w:after="80"/>
      </w:pPr>
      <w:r>
        <w:t xml:space="preserve">Journal d'audit et de conformité (traçabilité RGPD-like exigée par l'ODPC).</w:t>
      </w:r>
    </w:p>
    <w:p>
      <w:pPr>
        <w:pStyle w:val="ListParagraph"/>
        <w:numPr>
          <w:ilvl w:val="0"/>
          <w:numId w:val="2"/>
        </w:numPr>
        <w:spacing w:after="80"/>
      </w:pPr>
      <w:r>
        <w:t xml:space="preserve">Alertes automatiques en cas d'escalade, de plainte ou de dépassement de SLA.</w:t>
      </w:r>
    </w:p>
    <w:p>
      <w:pPr>
        <w:pStyle w:val="Heading2"/>
        <w:spacing w:after="120" w:before="280"/>
      </w:pPr>
      <w:r>
        <w:t xml:space="preserve">5.4 Pile technique suggérée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200"/>
        <w:gridCol w:w="6300"/>
      </w:tblGrid>
      <w:tr>
        <w:tc>
          <w:tcPr>
            <w:tcW w:type="dxa" w:w="4200"/>
            <w:shd w:fill="1F2937" w:val="clear"/>
            <w:tcMar>
              <w:top w:type="dxa" w:w="100"/>
              <w:left w:type="dxa" w:w="120"/>
              <w:bottom w:type="dxa" w:w="100"/>
              <w:right w:type="dxa" w:w="120"/>
            </w:tcMar>
          </w:tcPr>
          <w:p>
            <w:r>
              <w:rPr>
                <w:b/>
                <w:bCs/>
                <w:color w:val="FFFFFF"/>
                <w:sz w:val="20"/>
                <w:szCs w:val="20"/>
              </w:rPr>
              <w:t xml:space="preserve">Composant</w:t>
            </w:r>
          </w:p>
        </w:tc>
        <w:tc>
          <w:tcPr>
            <w:tcW w:type="dxa" w:w="6300"/>
            <w:shd w:fill="1F2937" w:val="clear"/>
            <w:tcMar>
              <w:top w:type="dxa" w:w="100"/>
              <w:left w:type="dxa" w:w="120"/>
              <w:bottom w:type="dxa" w:w="100"/>
              <w:right w:type="dxa" w:w="120"/>
            </w:tcMar>
          </w:tcPr>
          <w:p>
            <w:r>
              <w:rPr>
                <w:b/>
                <w:bCs/>
                <w:color w:val="FFFFFF"/>
                <w:sz w:val="20"/>
                <w:szCs w:val="20"/>
              </w:rPr>
              <w:t xml:space="preserve">Recommandation</w:t>
            </w:r>
          </w:p>
        </w:tc>
      </w:tr>
      <w:tr>
        <w:tc>
          <w:tcPr>
            <w:tcW w:type="dxa" w:w="4200"/>
            <w:tcMar>
              <w:top w:type="dxa" w:w="100"/>
              <w:left w:type="dxa" w:w="120"/>
              <w:bottom w:type="dxa" w:w="100"/>
              <w:right w:type="dxa" w:w="120"/>
            </w:tcMar>
          </w:tcPr>
          <w:p>
            <w:r>
              <w:rPr>
                <w:b w:val="false"/>
                <w:bCs w:val="false"/>
                <w:color w:val="111111"/>
                <w:sz w:val="20"/>
                <w:szCs w:val="20"/>
              </w:rPr>
              <w:t xml:space="preserve">Apps mobiles (Client + Concierge)</w:t>
            </w:r>
          </w:p>
        </w:tc>
        <w:tc>
          <w:tcPr>
            <w:tcW w:type="dxa" w:w="6300"/>
            <w:tcMar>
              <w:top w:type="dxa" w:w="100"/>
              <w:left w:type="dxa" w:w="120"/>
              <w:bottom w:type="dxa" w:w="100"/>
              <w:right w:type="dxa" w:w="120"/>
            </w:tcMar>
          </w:tcPr>
          <w:p>
            <w:r>
              <w:rPr>
                <w:b w:val="false"/>
                <w:bCs w:val="false"/>
                <w:color w:val="111111"/>
                <w:sz w:val="20"/>
                <w:szCs w:val="20"/>
              </w:rPr>
              <w:t xml:space="preserve">React Native ou Flutter — un seul code partagé iOS/Android</w:t>
            </w:r>
          </w:p>
        </w:tc>
      </w:tr>
      <w:tr>
        <w:tc>
          <w:tcPr>
            <w:tcW w:type="dxa" w:w="4200"/>
            <w:tcMar>
              <w:top w:type="dxa" w:w="100"/>
              <w:left w:type="dxa" w:w="120"/>
              <w:bottom w:type="dxa" w:w="100"/>
              <w:right w:type="dxa" w:w="120"/>
            </w:tcMar>
          </w:tcPr>
          <w:p>
            <w:r>
              <w:rPr>
                <w:b w:val="false"/>
                <w:bCs w:val="false"/>
                <w:color w:val="111111"/>
                <w:sz w:val="20"/>
                <w:szCs w:val="20"/>
              </w:rPr>
              <w:t xml:space="preserve">Portail Board</w:t>
            </w:r>
          </w:p>
        </w:tc>
        <w:tc>
          <w:tcPr>
            <w:tcW w:type="dxa" w:w="6300"/>
            <w:tcMar>
              <w:top w:type="dxa" w:w="100"/>
              <w:left w:type="dxa" w:w="120"/>
              <w:bottom w:type="dxa" w:w="100"/>
              <w:right w:type="dxa" w:w="120"/>
            </w:tcMar>
          </w:tcPr>
          <w:p>
            <w:r>
              <w:rPr>
                <w:b w:val="false"/>
                <w:bCs w:val="false"/>
                <w:color w:val="111111"/>
                <w:sz w:val="20"/>
                <w:szCs w:val="20"/>
              </w:rPr>
              <w:t xml:space="preserve">Application web sécurisée (React), accès par rôle</w:t>
            </w:r>
          </w:p>
        </w:tc>
      </w:tr>
      <w:tr>
        <w:tc>
          <w:tcPr>
            <w:tcW w:type="dxa" w:w="4200"/>
            <w:tcMar>
              <w:top w:type="dxa" w:w="100"/>
              <w:left w:type="dxa" w:w="120"/>
              <w:bottom w:type="dxa" w:w="100"/>
              <w:right w:type="dxa" w:w="120"/>
            </w:tcMar>
          </w:tcPr>
          <w:p>
            <w:r>
              <w:rPr>
                <w:b w:val="false"/>
                <w:bCs w:val="false"/>
                <w:color w:val="111111"/>
                <w:sz w:val="20"/>
                <w:szCs w:val="20"/>
              </w:rPr>
              <w:t xml:space="preserve">Backend / API</w:t>
            </w:r>
          </w:p>
        </w:tc>
        <w:tc>
          <w:tcPr>
            <w:tcW w:type="dxa" w:w="6300"/>
            <w:tcMar>
              <w:top w:type="dxa" w:w="100"/>
              <w:left w:type="dxa" w:w="120"/>
              <w:bottom w:type="dxa" w:w="100"/>
              <w:right w:type="dxa" w:w="120"/>
            </w:tcMar>
          </w:tcPr>
          <w:p>
            <w:r>
              <w:rPr>
                <w:b w:val="false"/>
                <w:bCs w:val="false"/>
                <w:color w:val="111111"/>
                <w:sz w:val="20"/>
                <w:szCs w:val="20"/>
              </w:rPr>
              <w:t xml:space="preserve">Node.js ou Django, API REST ou GraphQL</w:t>
            </w:r>
          </w:p>
        </w:tc>
      </w:tr>
      <w:tr>
        <w:tc>
          <w:tcPr>
            <w:tcW w:type="dxa" w:w="4200"/>
            <w:tcMar>
              <w:top w:type="dxa" w:w="100"/>
              <w:left w:type="dxa" w:w="120"/>
              <w:bottom w:type="dxa" w:w="100"/>
              <w:right w:type="dxa" w:w="120"/>
            </w:tcMar>
          </w:tcPr>
          <w:p>
            <w:r>
              <w:rPr>
                <w:b w:val="false"/>
                <w:bCs w:val="false"/>
                <w:color w:val="111111"/>
                <w:sz w:val="20"/>
                <w:szCs w:val="20"/>
              </w:rPr>
              <w:t xml:space="preserve">Paiements</w:t>
            </w:r>
          </w:p>
        </w:tc>
        <w:tc>
          <w:tcPr>
            <w:tcW w:type="dxa" w:w="6300"/>
            <w:tcMar>
              <w:top w:type="dxa" w:w="100"/>
              <w:left w:type="dxa" w:w="120"/>
              <w:bottom w:type="dxa" w:w="100"/>
              <w:right w:type="dxa" w:w="120"/>
            </w:tcMar>
          </w:tcPr>
          <w:p>
            <w:r>
              <w:rPr>
                <w:b w:val="false"/>
                <w:bCs w:val="false"/>
                <w:color w:val="111111"/>
                <w:sz w:val="20"/>
                <w:szCs w:val="20"/>
              </w:rPr>
              <w:t xml:space="preserve">M-Pesa Daraja API (STK Push) + Pesapal/Flutterwave pour cartes</w:t>
            </w:r>
          </w:p>
        </w:tc>
      </w:tr>
      <w:tr>
        <w:tc>
          <w:tcPr>
            <w:tcW w:type="dxa" w:w="4200"/>
            <w:tcMar>
              <w:top w:type="dxa" w:w="100"/>
              <w:left w:type="dxa" w:w="120"/>
              <w:bottom w:type="dxa" w:w="100"/>
              <w:right w:type="dxa" w:w="120"/>
            </w:tcMar>
          </w:tcPr>
          <w:p>
            <w:r>
              <w:rPr>
                <w:b w:val="false"/>
                <w:bCs w:val="false"/>
                <w:color w:val="111111"/>
                <w:sz w:val="20"/>
                <w:szCs w:val="20"/>
              </w:rPr>
              <w:t xml:space="preserve">Notifications</w:t>
            </w:r>
          </w:p>
        </w:tc>
        <w:tc>
          <w:tcPr>
            <w:tcW w:type="dxa" w:w="6300"/>
            <w:tcMar>
              <w:top w:type="dxa" w:w="100"/>
              <w:left w:type="dxa" w:w="120"/>
              <w:bottom w:type="dxa" w:w="100"/>
              <w:right w:type="dxa" w:w="120"/>
            </w:tcMar>
          </w:tcPr>
          <w:p>
            <w:r>
              <w:rPr>
                <w:b w:val="false"/>
                <w:bCs w:val="false"/>
                <w:color w:val="111111"/>
                <w:sz w:val="20"/>
                <w:szCs w:val="20"/>
              </w:rPr>
              <w:t xml:space="preserve">Firebase Cloud Messaging</w:t>
            </w:r>
          </w:p>
        </w:tc>
      </w:tr>
      <w:tr>
        <w:tc>
          <w:tcPr>
            <w:tcW w:type="dxa" w:w="4200"/>
            <w:tcMar>
              <w:top w:type="dxa" w:w="100"/>
              <w:left w:type="dxa" w:w="120"/>
              <w:bottom w:type="dxa" w:w="100"/>
              <w:right w:type="dxa" w:w="120"/>
            </w:tcMar>
          </w:tcPr>
          <w:p>
            <w:r>
              <w:rPr>
                <w:b w:val="false"/>
                <w:bCs w:val="false"/>
                <w:color w:val="111111"/>
                <w:sz w:val="20"/>
                <w:szCs w:val="20"/>
              </w:rPr>
              <w:t xml:space="preserve">Communication de secours</w:t>
            </w:r>
          </w:p>
        </w:tc>
        <w:tc>
          <w:tcPr>
            <w:tcW w:type="dxa" w:w="6300"/>
            <w:tcMar>
              <w:top w:type="dxa" w:w="100"/>
              <w:left w:type="dxa" w:w="120"/>
              <w:bottom w:type="dxa" w:w="100"/>
              <w:right w:type="dxa" w:w="120"/>
            </w:tcMar>
          </w:tcPr>
          <w:p>
            <w:r>
              <w:rPr>
                <w:b w:val="false"/>
                <w:bCs w:val="false"/>
                <w:color w:val="111111"/>
                <w:sz w:val="20"/>
                <w:szCs w:val="20"/>
              </w:rPr>
              <w:t xml:space="preserve">SMS/USSD via Africa's Talking (utile en cas de connexion limitée)</w:t>
            </w:r>
          </w:p>
        </w:tc>
      </w:tr>
      <w:tr>
        <w:tc>
          <w:tcPr>
            <w:tcW w:type="dxa" w:w="4200"/>
            <w:tcMar>
              <w:top w:type="dxa" w:w="100"/>
              <w:left w:type="dxa" w:w="120"/>
              <w:bottom w:type="dxa" w:w="100"/>
              <w:right w:type="dxa" w:w="120"/>
            </w:tcMar>
          </w:tcPr>
          <w:p>
            <w:r>
              <w:rPr>
                <w:b w:val="false"/>
                <w:bCs w:val="false"/>
                <w:color w:val="111111"/>
                <w:sz w:val="20"/>
                <w:szCs w:val="20"/>
              </w:rPr>
              <w:t xml:space="preserve">Hébergement</w:t>
            </w:r>
          </w:p>
        </w:tc>
        <w:tc>
          <w:tcPr>
            <w:tcW w:type="dxa" w:w="6300"/>
            <w:tcMar>
              <w:top w:type="dxa" w:w="100"/>
              <w:left w:type="dxa" w:w="120"/>
              <w:bottom w:type="dxa" w:w="100"/>
              <w:right w:type="dxa" w:w="120"/>
            </w:tcMar>
          </w:tcPr>
          <w:p>
            <w:r>
              <w:rPr>
                <w:b w:val="false"/>
                <w:bCs w:val="false"/>
                <w:color w:val="111111"/>
                <w:sz w:val="20"/>
                <w:szCs w:val="20"/>
              </w:rPr>
              <w:t xml:space="preserve">Cloud (AWS/Azure), avec attention aux règles de transfert transfrontalier de données</w:t>
            </w:r>
          </w:p>
        </w:tc>
      </w:tr>
    </w:tbl>
    <w:p>
      <w:pPr>
        <w:spacing w:after="160"/>
      </w:pPr>
      <w:r>
        <w:t xml:space="preserve"/>
      </w:r>
    </w:p>
    <w:p>
      <w:pPr>
        <w:pStyle w:val="Heading1"/>
        <w:spacing w:after="160" w:before="360"/>
      </w:pPr>
      <w:r>
        <w:t xml:space="preserve">6. Feuille de route de lancement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700"/>
      </w:tblGrid>
      <w:tr>
        <w:tc>
          <w:tcPr>
            <w:tcW w:type="dxa" w:w="2600"/>
            <w:shd w:fill="1F2937" w:val="clear"/>
            <w:tcMar>
              <w:top w:type="dxa" w:w="100"/>
              <w:left w:type="dxa" w:w="120"/>
              <w:bottom w:type="dxa" w:w="100"/>
              <w:right w:type="dxa" w:w="120"/>
            </w:tcMar>
          </w:tcPr>
          <w:p>
            <w:r>
              <w:rPr>
                <w:b/>
                <w:bCs/>
                <w:color w:val="FFFFFF"/>
                <w:sz w:val="20"/>
                <w:szCs w:val="20"/>
              </w:rPr>
              <w:t xml:space="preserve">Phase</w:t>
            </w:r>
          </w:p>
        </w:tc>
        <w:tc>
          <w:tcPr>
            <w:tcW w:type="dxa" w:w="2200"/>
            <w:shd w:fill="1F2937" w:val="clear"/>
            <w:tcMar>
              <w:top w:type="dxa" w:w="100"/>
              <w:left w:type="dxa" w:w="120"/>
              <w:bottom w:type="dxa" w:w="100"/>
              <w:right w:type="dxa" w:w="120"/>
            </w:tcMar>
          </w:tcPr>
          <w:p>
            <w:r>
              <w:rPr>
                <w:b/>
                <w:bCs/>
                <w:color w:val="FFFFFF"/>
                <w:sz w:val="20"/>
                <w:szCs w:val="20"/>
              </w:rPr>
              <w:t xml:space="preserve">Durée indicative</w:t>
            </w:r>
          </w:p>
        </w:tc>
        <w:tc>
          <w:tcPr>
            <w:tcW w:type="dxa" w:w="5700"/>
            <w:shd w:fill="1F2937" w:val="clear"/>
            <w:tcMar>
              <w:top w:type="dxa" w:w="100"/>
              <w:left w:type="dxa" w:w="120"/>
              <w:bottom w:type="dxa" w:w="100"/>
              <w:right w:type="dxa" w:w="120"/>
            </w:tcMar>
          </w:tcPr>
          <w:p>
            <w:r>
              <w:rPr>
                <w:b/>
                <w:bCs/>
                <w:color w:val="FFFFFF"/>
                <w:sz w:val="20"/>
                <w:szCs w:val="20"/>
              </w:rPr>
              <w:t xml:space="preserve">Contenu</w:t>
            </w:r>
          </w:p>
        </w:tc>
      </w:tr>
      <w:tr>
        <w:tc>
          <w:tcPr>
            <w:tcW w:type="dxa" w:w="2600"/>
            <w:tcMar>
              <w:top w:type="dxa" w:w="100"/>
              <w:left w:type="dxa" w:w="120"/>
              <w:bottom w:type="dxa" w:w="100"/>
              <w:right w:type="dxa" w:w="120"/>
            </w:tcMar>
          </w:tcPr>
          <w:p>
            <w:r>
              <w:rPr>
                <w:b w:val="false"/>
                <w:bCs w:val="false"/>
                <w:color w:val="111111"/>
                <w:sz w:val="20"/>
                <w:szCs w:val="20"/>
              </w:rPr>
              <w:t xml:space="preserve">Phase 0 — Fondations</w:t>
            </w:r>
          </w:p>
        </w:tc>
        <w:tc>
          <w:tcPr>
            <w:tcW w:type="dxa" w:w="2200"/>
            <w:tcMar>
              <w:top w:type="dxa" w:w="100"/>
              <w:left w:type="dxa" w:w="120"/>
              <w:bottom w:type="dxa" w:w="100"/>
              <w:right w:type="dxa" w:w="120"/>
            </w:tcMar>
          </w:tcPr>
          <w:p>
            <w:r>
              <w:rPr>
                <w:b w:val="false"/>
                <w:bCs w:val="false"/>
                <w:color w:val="111111"/>
                <w:sz w:val="20"/>
                <w:szCs w:val="20"/>
              </w:rPr>
              <w:t xml:space="preserve">Mois 1-2</w:t>
            </w:r>
          </w:p>
        </w:tc>
        <w:tc>
          <w:tcPr>
            <w:tcW w:type="dxa" w:w="5700"/>
            <w:tcMar>
              <w:top w:type="dxa" w:w="100"/>
              <w:left w:type="dxa" w:w="120"/>
              <w:bottom w:type="dxa" w:w="100"/>
              <w:right w:type="dxa" w:w="120"/>
            </w:tcMar>
          </w:tcPr>
          <w:p>
            <w:r>
              <w:rPr>
                <w:b w:val="false"/>
                <w:bCs w:val="false"/>
                <w:color w:val="111111"/>
                <w:sz w:val="20"/>
                <w:szCs w:val="20"/>
              </w:rPr>
              <w:t xml:space="preserve">Incorporation, enregistrement ODPC, premiers partenariats (5-10 hôtels/restaurants), recrutement de l'équipe concierge fondatrice</w:t>
            </w:r>
          </w:p>
        </w:tc>
      </w:tr>
      <w:tr>
        <w:tc>
          <w:tcPr>
            <w:tcW w:type="dxa" w:w="2600"/>
            <w:tcMar>
              <w:top w:type="dxa" w:w="100"/>
              <w:left w:type="dxa" w:w="120"/>
              <w:bottom w:type="dxa" w:w="100"/>
              <w:right w:type="dxa" w:w="120"/>
            </w:tcMar>
          </w:tcPr>
          <w:p>
            <w:r>
              <w:rPr>
                <w:b w:val="false"/>
                <w:bCs w:val="false"/>
                <w:color w:val="111111"/>
                <w:sz w:val="20"/>
                <w:szCs w:val="20"/>
              </w:rPr>
              <w:t xml:space="preserve">Phase 1 — MVP</w:t>
            </w:r>
          </w:p>
        </w:tc>
        <w:tc>
          <w:tcPr>
            <w:tcW w:type="dxa" w:w="2200"/>
            <w:tcMar>
              <w:top w:type="dxa" w:w="100"/>
              <w:left w:type="dxa" w:w="120"/>
              <w:bottom w:type="dxa" w:w="100"/>
              <w:right w:type="dxa" w:w="120"/>
            </w:tcMar>
          </w:tcPr>
          <w:p>
            <w:r>
              <w:rPr>
                <w:b w:val="false"/>
                <w:bCs w:val="false"/>
                <w:color w:val="111111"/>
                <w:sz w:val="20"/>
                <w:szCs w:val="20"/>
              </w:rPr>
              <w:t xml:space="preserve">Mois 3-5</w:t>
            </w:r>
          </w:p>
        </w:tc>
        <w:tc>
          <w:tcPr>
            <w:tcW w:type="dxa" w:w="5700"/>
            <w:tcMar>
              <w:top w:type="dxa" w:w="100"/>
              <w:left w:type="dxa" w:w="120"/>
              <w:bottom w:type="dxa" w:w="100"/>
              <w:right w:type="dxa" w:w="120"/>
            </w:tcMar>
          </w:tcPr>
          <w:p>
            <w:r>
              <w:rPr>
                <w:b w:val="false"/>
                <w:bCs w:val="false"/>
                <w:color w:val="111111"/>
                <w:sz w:val="20"/>
                <w:szCs w:val="20"/>
              </w:rPr>
              <w:t xml:space="preserve">Développement des apps Client et Concierge (fonctions cœur : catalogue, demande, chat, statut), portail Board basique, lancement sur invitation auprès d'expatriés et de partenaires corporate</w:t>
            </w:r>
          </w:p>
        </w:tc>
      </w:tr>
      <w:tr>
        <w:tc>
          <w:tcPr>
            <w:tcW w:type="dxa" w:w="2600"/>
            <w:tcMar>
              <w:top w:type="dxa" w:w="100"/>
              <w:left w:type="dxa" w:w="120"/>
              <w:bottom w:type="dxa" w:w="100"/>
              <w:right w:type="dxa" w:w="120"/>
            </w:tcMar>
          </w:tcPr>
          <w:p>
            <w:r>
              <w:rPr>
                <w:b w:val="false"/>
                <w:bCs w:val="false"/>
                <w:color w:val="111111"/>
                <w:sz w:val="20"/>
                <w:szCs w:val="20"/>
              </w:rPr>
              <w:t xml:space="preserve">Phase 2 — Consolidation</w:t>
            </w:r>
          </w:p>
        </w:tc>
        <w:tc>
          <w:tcPr>
            <w:tcW w:type="dxa" w:w="2200"/>
            <w:tcMar>
              <w:top w:type="dxa" w:w="100"/>
              <w:left w:type="dxa" w:w="120"/>
              <w:bottom w:type="dxa" w:w="100"/>
              <w:right w:type="dxa" w:w="120"/>
            </w:tcMar>
          </w:tcPr>
          <w:p>
            <w:r>
              <w:rPr>
                <w:b w:val="false"/>
                <w:bCs w:val="false"/>
                <w:color w:val="111111"/>
                <w:sz w:val="20"/>
                <w:szCs w:val="20"/>
              </w:rPr>
              <w:t xml:space="preserve">Mois 6-9</w:t>
            </w:r>
          </w:p>
        </w:tc>
        <w:tc>
          <w:tcPr>
            <w:tcW w:type="dxa" w:w="5700"/>
            <w:tcMar>
              <w:top w:type="dxa" w:w="100"/>
              <w:left w:type="dxa" w:w="120"/>
              <w:bottom w:type="dxa" w:w="100"/>
              <w:right w:type="dxa" w:w="120"/>
            </w:tcMar>
          </w:tcPr>
          <w:p>
            <w:r>
              <w:rPr>
                <w:b w:val="false"/>
                <w:bCs w:val="false"/>
                <w:color w:val="111111"/>
                <w:sz w:val="20"/>
                <w:szCs w:val="20"/>
              </w:rPr>
              <w:t xml:space="preserve">Intégration paiement M-Pesa complète, programme de fidélité, élargissement du réseau de partenaires, retours d'expérience et itération produit</w:t>
            </w:r>
          </w:p>
        </w:tc>
      </w:tr>
      <w:tr>
        <w:tc>
          <w:tcPr>
            <w:tcW w:type="dxa" w:w="2600"/>
            <w:tcMar>
              <w:top w:type="dxa" w:w="100"/>
              <w:left w:type="dxa" w:w="120"/>
              <w:bottom w:type="dxa" w:w="100"/>
              <w:right w:type="dxa" w:w="120"/>
            </w:tcMar>
          </w:tcPr>
          <w:p>
            <w:r>
              <w:rPr>
                <w:b w:val="false"/>
                <w:bCs w:val="false"/>
                <w:color w:val="111111"/>
                <w:sz w:val="20"/>
                <w:szCs w:val="20"/>
              </w:rPr>
              <w:t xml:space="preserve">Phase 3 — Croissance</w:t>
            </w:r>
          </w:p>
        </w:tc>
        <w:tc>
          <w:tcPr>
            <w:tcW w:type="dxa" w:w="2200"/>
            <w:tcMar>
              <w:top w:type="dxa" w:w="100"/>
              <w:left w:type="dxa" w:w="120"/>
              <w:bottom w:type="dxa" w:w="100"/>
              <w:right w:type="dxa" w:w="120"/>
            </w:tcMar>
          </w:tcPr>
          <w:p>
            <w:r>
              <w:rPr>
                <w:b w:val="false"/>
                <w:bCs w:val="false"/>
                <w:color w:val="111111"/>
                <w:sz w:val="20"/>
                <w:szCs w:val="20"/>
              </w:rPr>
              <w:t xml:space="preserve">Mois 10-12+</w:t>
            </w:r>
          </w:p>
        </w:tc>
        <w:tc>
          <w:tcPr>
            <w:tcW w:type="dxa" w:w="5700"/>
            <w:tcMar>
              <w:top w:type="dxa" w:w="100"/>
              <w:left w:type="dxa" w:w="120"/>
              <w:bottom w:type="dxa" w:w="100"/>
              <w:right w:type="dxa" w:w="120"/>
            </w:tcMar>
          </w:tcPr>
          <w:p>
            <w:r>
              <w:rPr>
                <w:b w:val="false"/>
                <w:bCs w:val="false"/>
                <w:color w:val="111111"/>
                <w:sz w:val="20"/>
                <w:szCs w:val="20"/>
              </w:rPr>
              <w:t xml:space="preserve">Extension à Mombasa/Diani, lancement des tiers premium, exploration d'une offre patrimoniale complémentaire pour les clients les plus fortunés</w:t>
            </w:r>
          </w:p>
        </w:tc>
      </w:tr>
    </w:tbl>
    <w:p>
      <w:pPr>
        <w:spacing w:after="160"/>
      </w:pPr>
      <w:r>
        <w:t xml:space="preserve"/>
      </w:r>
    </w:p>
    <w:p>
      <w:pPr>
        <w:pStyle w:val="Heading1"/>
        <w:spacing w:after="160" w:before="360"/>
      </w:pPr>
      <w:r>
        <w:t xml:space="preserve">7. Équipe nécessaire au lancement</w:t>
      </w:r>
    </w:p>
    <w:p>
      <w:pPr>
        <w:pStyle w:val="ListParagraph"/>
        <w:numPr>
          <w:ilvl w:val="0"/>
          <w:numId w:val="2"/>
        </w:numPr>
        <w:spacing w:after="80"/>
      </w:pPr>
      <w:r>
        <w:t xml:space="preserve">Direction opérationnelle — profil hospitality/luxury service, connaissance du marché nairobien.</w:t>
      </w:r>
    </w:p>
    <w:p>
      <w:pPr>
        <w:pStyle w:val="ListParagraph"/>
        <w:numPr>
          <w:ilvl w:val="0"/>
          <w:numId w:val="2"/>
        </w:numPr>
        <w:spacing w:after="80"/>
      </w:pPr>
      <w:r>
        <w:t xml:space="preserve">Direction technique (CTO) ou prestataire de développement pour les 3 applications.</w:t>
      </w:r>
    </w:p>
    <w:p>
      <w:pPr>
        <w:pStyle w:val="ListParagraph"/>
        <w:numPr>
          <w:ilvl w:val="0"/>
          <w:numId w:val="2"/>
        </w:numPr>
        <w:spacing w:after="80"/>
      </w:pPr>
      <w:r>
        <w:t xml:space="preserve">2-3 développeurs (mobile + backend).</w:t>
      </w:r>
    </w:p>
    <w:p>
      <w:pPr>
        <w:pStyle w:val="ListParagraph"/>
        <w:numPr>
          <w:ilvl w:val="0"/>
          <w:numId w:val="2"/>
        </w:numPr>
        <w:spacing w:after="80"/>
      </w:pPr>
      <w:r>
        <w:t xml:space="preserve">Équipe concierge fondatrice (3-5 personnes) couvrant voyage, immobilier, sécurité, événementiel.</w:t>
      </w:r>
    </w:p>
    <w:p>
      <w:pPr>
        <w:pStyle w:val="ListParagraph"/>
        <w:numPr>
          <w:ilvl w:val="0"/>
          <w:numId w:val="2"/>
        </w:numPr>
        <w:spacing w:after="80"/>
      </w:pPr>
      <w:r>
        <w:t xml:space="preserve">Responsable partenariats / développement commercial.</w:t>
      </w:r>
    </w:p>
    <w:p>
      <w:pPr>
        <w:pStyle w:val="ListParagraph"/>
        <w:numPr>
          <w:ilvl w:val="0"/>
          <w:numId w:val="2"/>
        </w:numPr>
        <w:spacing w:after="80"/>
      </w:pPr>
      <w:r>
        <w:t xml:space="preserve">Support client / réussite membre.</w:t>
      </w:r>
    </w:p>
    <w:p>
      <w:pPr>
        <w:pStyle w:val="Heading1"/>
        <w:spacing w:after="160" w:before="360"/>
      </w:pPr>
      <w:r>
        <w:t xml:space="preserve">8. Points de vigilance</w:t>
      </w:r>
    </w:p>
    <w:p>
      <w:pPr>
        <w:spacing w:after="160"/>
      </w:pPr>
      <w:r>
        <w:rPr>
          <w:i w:val="false"/>
          <w:iCs w:val="false"/>
        </w:rPr>
        <w:t xml:space="preserve">La concurrence locale existe déjà (A&amp;M Concierge, The Aurelia Concierge) : l'angle plateforme/app doit être un vrai différenciateur de fiabilité, pas un gadget. La forte inégalité de revenus au Kenya limite la profondeur du marché premium pur — la stratégie B2B (contrats entreprises/ambassades) est ce qui sécurisera un volume stable au-delà de la clientèle individuelle. Enfin, la conformité ODPC doit être traitée dès la conception des applications (privacy by design), pas ajoutée après coup : les trois apps manipuleront des données sensibles dès le premier jour.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2026-07-22T15:35:41.026Z</dcterms:created>
  <dcterms:modified xsi:type="dcterms:W3CDTF">2026-07-22T15:35:41.026Z</dcterms:modified>
</cp:coreProperties>
</file>

<file path=docProps/custom.xml><?xml version="1.0" encoding="utf-8"?>
<Properties xmlns="http://schemas.openxmlformats.org/officeDocument/2006/custom-properties" xmlns:vt="http://schemas.openxmlformats.org/officeDocument/2006/docPropsVTypes"/>
</file>