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Étude comparative des méthodes de détection de similarité textuelle</w:t>
      </w:r>
    </w:p>
    <w:p>
      <w:pPr>
        <w:spacing w:after="200"/>
      </w:pPr>
    </w:p>
    <w:p>
      <w:r>
        <w:t xml:space="preserve">Ce document constitue un mémoire fictif, généré uniquement à des fins de test technique. Il ne présente aucune valeur académique et sert exclusivement à vérifier le bon fonctionnement du pipeline d'analyse anti-plagiat : extraction du texte, segmentation, détection de copie exacte, détection sémantique, interrogation des sources académiques et recherche web.</w:t>
      </w:r>
    </w:p>
    <w:p>
      <w:r>
        <w:br w:type="page"/>
      </w:r>
    </w:p>
    <w:p>
      <w:pPr>
        <w:pStyle w:val="Heading2"/>
      </w:pPr>
      <w:r>
        <w:t xml:space="preserve">1. Éthique et intelligence artificielle</w:t>
      </w:r>
    </w:p>
    <w:p>
      <w:pPr>
        <w:spacing w:after="100"/>
      </w:pPr>
    </w:p>
    <w:p>
      <w:r>
        <w:t xml:space="preserve">Les systèmes d'intelligence artificielle soulèvent des questions éthiques fondamentales quant au respect de la dignité humaine. Comme le rappelle la Déclaration universelle des droits de l'homme, tous les êtres humains naissent libres et égaux en dignité et en droits, un principe que les concepteurs de systèmes automatisés doivent garder à l'esprit lors du déploiement de leurs solutions dans des contextes sensibles.</w:t>
      </w:r>
    </w:p>
    <w:p>
      <w:pPr>
        <w:spacing w:after="200"/>
      </w:pPr>
    </w:p>
    <w:p>
      <w:pPr>
        <w:pStyle w:val="Heading2"/>
      </w:pPr>
      <w:r>
        <w:t xml:space="preserve">2. Apprentissage automatique : principes généraux</w:t>
      </w:r>
    </w:p>
    <w:p>
      <w:pPr>
        <w:spacing w:after="100"/>
      </w:pPr>
    </w:p>
    <w:p>
      <w:r>
        <w:t xml:space="preserve">Pour repérer un contenu emprunté sans autorisation, il est possible de combiner plusieurs méthodes de comparaison textuelle : certaines s'appuient sur la correspondance exacte de séquences de mots, d'autres sur une analyse du sens général du texte, indépendamment de sa formulation précise. Cette complémentarité permet de couvrir à la fois le copier-coller littéral et la reformulation plus subtile.</w:t>
      </w:r>
    </w:p>
    <w:p>
      <w:r>
        <w:br w:type="page"/>
      </w:r>
    </w:p>
    <w:p>
      <w:pPr>
        <w:pStyle w:val="Heading2"/>
      </w:pPr>
      <w:r>
        <w:t xml:space="preserve">3. Architectures neuronales pour le traitement du langage</w:t>
      </w:r>
    </w:p>
    <w:p>
      <w:pPr>
        <w:spacing w:after="100"/>
      </w:pPr>
    </w:p>
    <w:p>
      <w:r>
        <w:t xml:space="preserve">Historically, natural language processing relied heavily on recurrent architectures. As highlighted in foundational work on the subject, the dominant sequence transduction models are based on complex recurrent or convolutional neural networks, an approach that later gave way to attention-based architectures offering better parallelization during training.</w:t>
      </w:r>
    </w:p>
    <w:p>
      <w:pPr>
        <w:spacing w:after="200"/>
      </w:pPr>
    </w:p>
    <w:p>
      <w:pPr>
        <w:pStyle w:val="Heading2"/>
      </w:pPr>
      <w:r>
        <w:t xml:space="preserve">4. Remarque méthodologique</w:t>
      </w:r>
    </w:p>
    <w:p>
      <w:pPr>
        <w:spacing w:after="100"/>
      </w:pPr>
    </w:p>
    <w:p>
      <w:r>
        <w:t xml:space="preserve">Ce segment est volontairement court.</w:t>
      </w:r>
    </w:p>
    <w:p>
      <w:pPr>
        <w:spacing w:after="200"/>
      </w:pPr>
    </w:p>
    <w:p>
      <w:pPr>
        <w:pStyle w:val="Heading2"/>
      </w:pPr>
      <w:r>
        <w:t xml:space="preserve">5. Observation de terrain</w:t>
      </w:r>
    </w:p>
    <w:p>
      <w:pPr>
        <w:spacing w:after="100"/>
      </w:pPr>
    </w:p>
    <w:p>
      <w:r>
        <w:t xml:space="preserve">Lors des entretiens menés auprès de douze enseignants du secondaire à Cotonou, la majorité d'entre eux ont exprimé une inquiétude croissante face à l'usage non encadré des outils génératifs par leurs élèves, tout en reconnaissant leur potentiel pédagogique lorsqu'ils sont intégrés de façon supervisée dans les activités de classe.</w:t>
      </w:r>
    </w:p>
    <w:p>
      <w:r>
        <w:br w:type="page"/>
      </w:r>
    </w:p>
    <w:p>
      <w:pPr>
        <w:pStyle w:val="Heading2"/>
      </w:pPr>
      <w:r>
        <w:t xml:space="preserve">Bibliographie</w:t>
      </w:r>
    </w:p>
    <w:p>
      <w:pPr>
        <w:spacing w:after="100"/>
      </w:pPr>
    </w:p>
    <w:p>
      <w:r>
        <w:t xml:space="preserve">Vaswani, A. et al. (2017). Attention Is All You Need. arXiv:1706.03762.</w:t>
      </w:r>
    </w:p>
    <w:p>
      <w:r>
        <w:t xml:space="preserve">Assemblée générale des Nations Unies (1948). Déclaration universelle des droits de l'homme.</w:t>
      </w:r>
    </w:p>
    <w:p>
      <w:r>
        <w:t xml:space="preserve">Dupont, J. (2022). L'intelligence artificielle en contexte éducatif. Éditions Fictives.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PlagiatCheck — Document de test | Étudiant : Awessou 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2026-08-19T19:42:44.698Z</dcterms:created>
  <dcterms:modified xsi:type="dcterms:W3CDTF">2026-08-19T19:42:44.716Z</dcterms:modified>
</cp:coreProperties>
</file>

<file path=docProps/custom.xml><?xml version="1.0" encoding="utf-8"?>
<Properties xmlns="http://schemas.openxmlformats.org/officeDocument/2006/custom-properties" xmlns:vt="http://schemas.openxmlformats.org/officeDocument/2006/docPropsVTypes"/>
</file>