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BIRD ACADEMY</w:t>
      </w:r>
    </w:p>
    <w:p>
      <w:pPr>
        <w:jc w:val="center"/>
      </w:pPr>
      <w:r>
        <w:rPr>
          <w:b/>
          <w:sz w:val="38"/>
        </w:rPr>
        <w:t>Guide de compréhension des plans FREE / PREMIUM / PRO</w:t>
      </w:r>
    </w:p>
    <w:p>
      <w:pPr>
        <w:jc w:val="center"/>
      </w:pPr>
      <w:r>
        <w:rPr>
          <w:i/>
        </w:rPr>
        <w:t>Fonctionnalités • limites • Assistant IA • licences LMSE</w:t>
      </w:r>
    </w:p>
    <w:p/>
    <w:p>
      <w:pPr>
        <w:jc w:val="center"/>
      </w:pPr>
      <w:r>
        <w:rPr>
          <w:sz w:val="22"/>
        </w:rPr>
        <w:t>Document de référence — version de travail</w:t>
      </w:r>
    </w:p>
    <w:p>
      <w:r>
        <w:br w:type="page"/>
      </w:r>
    </w:p>
    <w:p>
      <w:pPr>
        <w:pStyle w:val="Heading1"/>
      </w:pPr>
      <w:r>
        <w:t>1. Objectif du document</w:t>
      </w:r>
    </w:p>
    <w:p>
      <w:r>
        <w:t>Ce document présente de manière simple et structurée les trois niveaux commerciaux de Bird Academy : FREE, PREMIUM et PRO. Il explique ce que chaque utilisateur peut faire, ce qui est limité, comment l’Assistant IA s’intègre dans la progression commerciale et comment les droits sont reliés au système de licences LMSE.</w:t>
      </w:r>
    </w:p>
    <w:p>
      <w:r>
        <w:t>Le principe retenu est que la licence détermine les capacités disponibles localement dans l’application. Bird Academy reste conçue pour fonctionner hors ligne : les données d’élevage sont conservées localement sur l’appareil et les contrôles de licence/capacités peuvent être appliqués sans dépendance à un serveur cloud.</w:t>
      </w:r>
    </w:p>
    <w:p>
      <w:pPr>
        <w:pStyle w:val="Heading1"/>
      </w:pPr>
      <w:r>
        <w:t>2. Vue d’ensemble des trois plans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D3"/>
          </w:tcPr>
          <w:p>
            <w:r/>
            <w:r>
              <w:rPr>
                <w:b/>
                <w:sz w:val="18"/>
              </w:rPr>
              <w:t>Élément</w:t>
            </w:r>
          </w:p>
        </w:tc>
        <w:tc>
          <w:tcPr>
            <w:tcW w:type="dxa" w:w="2493"/>
            <w:vAlign w:val="center"/>
            <w:shd w:fill="D9EAD3"/>
          </w:tcPr>
          <w:p>
            <w:r/>
            <w:r>
              <w:rPr>
                <w:b/>
                <w:sz w:val="18"/>
              </w:rPr>
              <w:t>FREE</w:t>
            </w:r>
          </w:p>
        </w:tc>
        <w:tc>
          <w:tcPr>
            <w:tcW w:type="dxa" w:w="2493"/>
            <w:vAlign w:val="center"/>
            <w:shd w:fill="D9EAD3"/>
          </w:tcPr>
          <w:p>
            <w:r/>
            <w:r>
              <w:rPr>
                <w:b/>
                <w:sz w:val="18"/>
              </w:rPr>
              <w:t>PREMIUM</w:t>
            </w:r>
          </w:p>
        </w:tc>
        <w:tc>
          <w:tcPr>
            <w:tcW w:type="dxa" w:w="2493"/>
            <w:vAlign w:val="center"/>
            <w:shd w:fill="D9EAD3"/>
          </w:tcPr>
          <w:p>
            <w:r/>
            <w:r>
              <w:rPr>
                <w:b/>
                <w:sz w:val="18"/>
              </w:rPr>
              <w:t>PRO</w:t>
            </w:r>
          </w:p>
        </w:tc>
      </w:tr>
      <w:tr>
        <w:tc>
          <w:tcPr>
            <w:tcW w:type="dxa" w:w="2493"/>
            <w:vAlign w:val="center"/>
          </w:tcPr>
          <w:p>
            <w:r/>
            <w:r>
              <w:rPr>
                <w:b w:val="0"/>
                <w:sz w:val="18"/>
              </w:rPr>
              <w:t>Positionnement</w:t>
            </w:r>
          </w:p>
        </w:tc>
        <w:tc>
          <w:tcPr>
            <w:tcW w:type="dxa" w:w="2493"/>
            <w:vAlign w:val="center"/>
          </w:tcPr>
          <w:p>
            <w:r/>
            <w:r>
              <w:rPr>
                <w:b w:val="0"/>
                <w:sz w:val="18"/>
              </w:rPr>
              <w:t>Découverte / gestion de base</w:t>
            </w:r>
          </w:p>
        </w:tc>
        <w:tc>
          <w:tcPr>
            <w:tcW w:type="dxa" w:w="2493"/>
            <w:vAlign w:val="center"/>
          </w:tcPr>
          <w:p>
            <w:r/>
            <w:r>
              <w:rPr>
                <w:b w:val="0"/>
                <w:sz w:val="18"/>
              </w:rPr>
              <w:t>Éleveur avancé</w:t>
            </w:r>
          </w:p>
        </w:tc>
        <w:tc>
          <w:tcPr>
            <w:tcW w:type="dxa" w:w="2493"/>
            <w:vAlign w:val="center"/>
          </w:tcPr>
          <w:p>
            <w:r/>
            <w:r>
              <w:rPr>
                <w:b w:val="0"/>
                <w:sz w:val="18"/>
              </w:rPr>
              <w:t>Éleveur expert / analyse complète</w:t>
            </w:r>
          </w:p>
        </w:tc>
      </w:tr>
      <w:tr>
        <w:tc>
          <w:tcPr>
            <w:tcW w:type="dxa" w:w="2493"/>
            <w:vAlign w:val="center"/>
          </w:tcPr>
          <w:p>
            <w:r/>
            <w:r>
              <w:rPr>
                <w:b w:val="0"/>
                <w:sz w:val="18"/>
              </w:rPr>
              <w:t>Assistant IA</w:t>
            </w:r>
          </w:p>
        </w:tc>
        <w:tc>
          <w:tcPr>
            <w:tcW w:type="dxa" w:w="2493"/>
            <w:vAlign w:val="center"/>
          </w:tcPr>
          <w:p>
            <w:r/>
            <w:r>
              <w:rPr>
                <w:b w:val="0"/>
                <w:sz w:val="18"/>
              </w:rPr>
              <w:t>Connaissances générales uniquement</w:t>
            </w:r>
          </w:p>
        </w:tc>
        <w:tc>
          <w:tcPr>
            <w:tcW w:type="dxa" w:w="2493"/>
            <w:vAlign w:val="center"/>
          </w:tcPr>
          <w:p>
            <w:r/>
            <w:r>
              <w:rPr>
                <w:b w:val="0"/>
                <w:sz w:val="18"/>
              </w:rPr>
              <w:t>Contexte élevage autorisé</w:t>
            </w:r>
          </w:p>
        </w:tc>
        <w:tc>
          <w:tcPr>
            <w:tcW w:type="dxa" w:w="2493"/>
            <w:vAlign w:val="center"/>
          </w:tcPr>
          <w:p>
            <w:r/>
            <w:r>
              <w:rPr>
                <w:b w:val="0"/>
                <w:sz w:val="18"/>
              </w:rPr>
              <w:t>Accès complet</w:t>
            </w:r>
          </w:p>
        </w:tc>
      </w:tr>
      <w:tr>
        <w:tc>
          <w:tcPr>
            <w:tcW w:type="dxa" w:w="2493"/>
            <w:vAlign w:val="center"/>
          </w:tcPr>
          <w:p>
            <w:r/>
            <w:r>
              <w:rPr>
                <w:b w:val="0"/>
                <w:sz w:val="18"/>
              </w:rPr>
              <w:t>Quota IA</w:t>
            </w:r>
          </w:p>
        </w:tc>
        <w:tc>
          <w:tcPr>
            <w:tcW w:type="dxa" w:w="2493"/>
            <w:vAlign w:val="center"/>
          </w:tcPr>
          <w:p>
            <w:r/>
            <w:r>
              <w:rPr>
                <w:b w:val="0"/>
                <w:sz w:val="18"/>
              </w:rPr>
              <w:t>10 requêtes / jour</w:t>
            </w:r>
          </w:p>
        </w:tc>
        <w:tc>
          <w:tcPr>
            <w:tcW w:type="dxa" w:w="2493"/>
            <w:vAlign w:val="center"/>
          </w:tcPr>
          <w:p>
            <w:r/>
            <w:r>
              <w:rPr>
                <w:b w:val="0"/>
                <w:sz w:val="18"/>
              </w:rPr>
              <w:t>100 requêtes / jour</w:t>
            </w:r>
          </w:p>
        </w:tc>
        <w:tc>
          <w:tcPr>
            <w:tcW w:type="dxa" w:w="2493"/>
            <w:vAlign w:val="center"/>
          </w:tcPr>
          <w:p>
            <w:r/>
            <w:r>
              <w:rPr>
                <w:b w:val="0"/>
                <w:sz w:val="18"/>
              </w:rPr>
              <w:t>Illimité</w:t>
            </w:r>
          </w:p>
        </w:tc>
      </w:tr>
      <w:tr>
        <w:tc>
          <w:tcPr>
            <w:tcW w:type="dxa" w:w="2493"/>
            <w:vAlign w:val="center"/>
          </w:tcPr>
          <w:p>
            <w:r/>
            <w:r>
              <w:rPr>
                <w:b w:val="0"/>
                <w:sz w:val="18"/>
              </w:rPr>
              <w:t>Données personnelles</w:t>
            </w:r>
          </w:p>
        </w:tc>
        <w:tc>
          <w:tcPr>
            <w:tcW w:type="dxa" w:w="2493"/>
            <w:vAlign w:val="center"/>
          </w:tcPr>
          <w:p>
            <w:r/>
            <w:r>
              <w:rPr>
                <w:b w:val="0"/>
                <w:sz w:val="18"/>
              </w:rPr>
              <w:t>Bloquées pour l’Assistant IA</w:t>
            </w:r>
          </w:p>
        </w:tc>
        <w:tc>
          <w:tcPr>
            <w:tcW w:type="dxa" w:w="2493"/>
            <w:vAlign w:val="center"/>
          </w:tcPr>
          <w:p>
            <w:r/>
            <w:r>
              <w:rPr>
                <w:b w:val="0"/>
                <w:sz w:val="18"/>
              </w:rPr>
              <w:t>Accès au contexte autorisé</w:t>
            </w:r>
          </w:p>
        </w:tc>
        <w:tc>
          <w:tcPr>
            <w:tcW w:type="dxa" w:w="2493"/>
            <w:vAlign w:val="center"/>
          </w:tcPr>
          <w:p>
            <w:r/>
            <w:r>
              <w:rPr>
                <w:b w:val="0"/>
                <w:sz w:val="18"/>
              </w:rPr>
              <w:t>Accès complet selon permissions</w:t>
            </w:r>
          </w:p>
        </w:tc>
      </w:tr>
      <w:tr>
        <w:tc>
          <w:tcPr>
            <w:tcW w:type="dxa" w:w="2493"/>
            <w:vAlign w:val="center"/>
          </w:tcPr>
          <w:p>
            <w:r/>
            <w:r>
              <w:rPr>
                <w:b w:val="0"/>
                <w:sz w:val="18"/>
              </w:rPr>
              <w:t>Analyses avancées</w:t>
            </w:r>
          </w:p>
        </w:tc>
        <w:tc>
          <w:tcPr>
            <w:tcW w:type="dxa" w:w="2493"/>
            <w:vAlign w:val="center"/>
          </w:tcPr>
          <w:p>
            <w:r/>
            <w:r>
              <w:rPr>
                <w:b w:val="0"/>
                <w:sz w:val="18"/>
              </w:rPr>
              <w:t>Non</w:t>
            </w:r>
          </w:p>
        </w:tc>
        <w:tc>
          <w:tcPr>
            <w:tcW w:type="dxa" w:w="2493"/>
            <w:vAlign w:val="center"/>
          </w:tcPr>
          <w:p>
            <w:r/>
            <w:r>
              <w:rPr>
                <w:b w:val="0"/>
                <w:sz w:val="18"/>
              </w:rPr>
              <w:t>Partielles</w:t>
            </w:r>
          </w:p>
        </w:tc>
        <w:tc>
          <w:tcPr>
            <w:tcW w:type="dxa" w:w="2493"/>
            <w:vAlign w:val="center"/>
          </w:tcPr>
          <w:p>
            <w:r/>
            <w:r>
              <w:rPr>
                <w:b w:val="0"/>
                <w:sz w:val="18"/>
              </w:rPr>
              <w:t>Oui</w:t>
            </w:r>
          </w:p>
        </w:tc>
      </w:tr>
      <w:tr>
        <w:tc>
          <w:tcPr>
            <w:tcW w:type="dxa" w:w="2493"/>
            <w:vAlign w:val="center"/>
          </w:tcPr>
          <w:p>
            <w:r/>
            <w:r>
              <w:rPr>
                <w:b w:val="0"/>
                <w:sz w:val="18"/>
              </w:rPr>
              <w:t>Bird Intelligence</w:t>
            </w:r>
          </w:p>
        </w:tc>
        <w:tc>
          <w:tcPr>
            <w:tcW w:type="dxa" w:w="2493"/>
            <w:vAlign w:val="center"/>
          </w:tcPr>
          <w:p>
            <w:r/>
            <w:r>
              <w:rPr>
                <w:b w:val="0"/>
                <w:sz w:val="18"/>
              </w:rPr>
              <w:t>Fonctionnalités selon droits du plan</w:t>
            </w:r>
          </w:p>
        </w:tc>
        <w:tc>
          <w:tcPr>
            <w:tcW w:type="dxa" w:w="2493"/>
            <w:vAlign w:val="center"/>
          </w:tcPr>
          <w:p>
            <w:r/>
            <w:r>
              <w:rPr>
                <w:b w:val="0"/>
                <w:sz w:val="18"/>
              </w:rPr>
              <w:t>Fonctionnalités selon droits du plan</w:t>
            </w:r>
          </w:p>
        </w:tc>
        <w:tc>
          <w:tcPr>
            <w:tcW w:type="dxa" w:w="2493"/>
            <w:vAlign w:val="center"/>
          </w:tcPr>
          <w:p>
            <w:r/>
            <w:r>
              <w:rPr>
                <w:b w:val="0"/>
                <w:sz w:val="18"/>
              </w:rPr>
              <w:t>Accès avancé / explications</w:t>
            </w:r>
          </w:p>
        </w:tc>
      </w:tr>
      <w:tr>
        <w:tc>
          <w:tcPr>
            <w:tcW w:type="dxa" w:w="2493"/>
            <w:vAlign w:val="center"/>
          </w:tcPr>
          <w:p>
            <w:r/>
            <w:r>
              <w:rPr>
                <w:b w:val="0"/>
                <w:sz w:val="18"/>
              </w:rPr>
              <w:t>Rapports assistés</w:t>
            </w:r>
          </w:p>
        </w:tc>
        <w:tc>
          <w:tcPr>
            <w:tcW w:type="dxa" w:w="2493"/>
            <w:vAlign w:val="center"/>
          </w:tcPr>
          <w:p>
            <w:r/>
            <w:r>
              <w:rPr>
                <w:b w:val="0"/>
                <w:sz w:val="18"/>
              </w:rPr>
              <w:t>Non</w:t>
            </w:r>
          </w:p>
        </w:tc>
        <w:tc>
          <w:tcPr>
            <w:tcW w:type="dxa" w:w="2493"/>
            <w:vAlign w:val="center"/>
          </w:tcPr>
          <w:p>
            <w:r/>
            <w:r>
              <w:rPr>
                <w:b w:val="0"/>
                <w:sz w:val="18"/>
              </w:rPr>
              <w:t>Limité</w:t>
            </w:r>
          </w:p>
        </w:tc>
        <w:tc>
          <w:tcPr>
            <w:tcW w:type="dxa" w:w="2493"/>
            <w:vAlign w:val="center"/>
          </w:tcPr>
          <w:p>
            <w:r/>
            <w:r>
              <w:rPr>
                <w:b w:val="0"/>
                <w:sz w:val="18"/>
              </w:rPr>
              <w:t>Oui</w:t>
            </w:r>
          </w:p>
        </w:tc>
      </w:tr>
      <w:tr>
        <w:tc>
          <w:tcPr>
            <w:tcW w:type="dxa" w:w="2493"/>
            <w:vAlign w:val="center"/>
          </w:tcPr>
          <w:p>
            <w:r/>
            <w:r>
              <w:rPr>
                <w:b w:val="0"/>
                <w:sz w:val="18"/>
              </w:rPr>
              <w:t>Généalogie complexe</w:t>
            </w:r>
          </w:p>
        </w:tc>
        <w:tc>
          <w:tcPr>
            <w:tcW w:type="dxa" w:w="2493"/>
            <w:vAlign w:val="center"/>
          </w:tcPr>
          <w:p>
            <w:r/>
            <w:r>
              <w:rPr>
                <w:b w:val="0"/>
                <w:sz w:val="18"/>
              </w:rPr>
              <w:t>Non</w:t>
            </w:r>
          </w:p>
        </w:tc>
        <w:tc>
          <w:tcPr>
            <w:tcW w:type="dxa" w:w="2493"/>
            <w:vAlign w:val="center"/>
          </w:tcPr>
          <w:p>
            <w:r/>
            <w:r>
              <w:rPr>
                <w:b w:val="0"/>
                <w:sz w:val="18"/>
              </w:rPr>
              <w:t>Non / limitée</w:t>
            </w:r>
          </w:p>
        </w:tc>
        <w:tc>
          <w:tcPr>
            <w:tcW w:type="dxa" w:w="2493"/>
            <w:vAlign w:val="center"/>
          </w:tcPr>
          <w:p>
            <w:r/>
            <w:r>
              <w:rPr>
                <w:b w:val="0"/>
                <w:sz w:val="18"/>
              </w:rPr>
              <w:t>Oui</w:t>
            </w:r>
          </w:p>
        </w:tc>
      </w:tr>
    </w:tbl>
    <w:p>
      <w:r>
        <w:t>Important : la matrice ci-dessus reprend la logique actuellement définie dans l’architecture de l’Assistant IA. Elle ne signifie pas que tous les modules métier de Bird Academy sont entièrement supprimés dans FREE. Les droits commerciaux doivent être appliqués par capacité, puis vérifiés avec les licences.</w:t>
      </w:r>
    </w:p>
    <w:p>
      <w:pPr>
        <w:pStyle w:val="Heading1"/>
      </w:pPr>
      <w:r>
        <w:t>3. Plan FREE</w:t>
      </w:r>
    </w:p>
    <w:p>
      <w:r>
        <w:t>Rôle : permettre à l’utilisateur de découvrir et d’utiliser Bird Academy avec un niveau de service de base.</w:t>
      </w:r>
    </w:p>
    <w:p>
      <w:pPr>
        <w:pStyle w:val="Heading2"/>
      </w:pPr>
      <w:r>
        <w:t>Ce que FREE apporte</w:t>
      </w:r>
    </w:p>
    <w:p>
      <w:pPr>
        <w:pStyle w:val="ListBullet"/>
      </w:pPr>
      <w:r>
        <w:t>Accès au socle de gestion de l’application selon la matrice commerciale finale.</w:t>
      </w:r>
    </w:p>
    <w:p>
      <w:pPr>
        <w:pStyle w:val="ListBullet"/>
      </w:pPr>
      <w:r>
        <w:t>Accès aux connaissances biologiques générales.</w:t>
      </w:r>
    </w:p>
    <w:p>
      <w:pPr>
        <w:pStyle w:val="ListBullet"/>
      </w:pPr>
      <w:r>
        <w:t>Assistant IA limité aux questions générales et aux connaissances du référentiel autorisé.</w:t>
      </w:r>
    </w:p>
    <w:p>
      <w:pPr>
        <w:pStyle w:val="ListBullet"/>
      </w:pPr>
      <w:r>
        <w:t>10 requêtes Assistant IA par jour.</w:t>
      </w:r>
    </w:p>
    <w:p>
      <w:pPr>
        <w:pStyle w:val="ListBullet"/>
      </w:pPr>
      <w:r>
        <w:t>Fonctionnement hors ligne.</w:t>
      </w:r>
    </w:p>
    <w:p>
      <w:pPr>
        <w:pStyle w:val="ListBullet"/>
      </w:pPr>
      <w:r>
        <w:t>Conservation locale des préférences et de l’état.</w:t>
      </w:r>
    </w:p>
    <w:p>
      <w:pPr>
        <w:pStyle w:val="Heading2"/>
      </w:pPr>
      <w:r>
        <w:t>Ce qui est volontairement limité</w:t>
      </w:r>
    </w:p>
    <w:p>
      <w:pPr>
        <w:pStyle w:val="ListBullet"/>
      </w:pPr>
      <w:r>
        <w:t>Pas d’accès de l’Assistant IA aux données personnelles détaillées de l’élevage.</w:t>
      </w:r>
    </w:p>
    <w:p>
      <w:pPr>
        <w:pStyle w:val="ListBullet"/>
      </w:pPr>
      <w:r>
        <w:t>Pas d’analyse avancée personnalisée.</w:t>
      </w:r>
    </w:p>
    <w:p>
      <w:pPr>
        <w:pStyle w:val="ListBullet"/>
      </w:pPr>
      <w:r>
        <w:t>Pas d’assistance avancée aux rapports.</w:t>
      </w:r>
    </w:p>
    <w:p>
      <w:pPr>
        <w:pStyle w:val="ListBullet"/>
      </w:pPr>
      <w:r>
        <w:t>Pas de généalogie complexe via l’Assistant IA.</w:t>
      </w:r>
    </w:p>
    <w:p>
      <w:pPr>
        <w:pStyle w:val="ListBullet"/>
      </w:pPr>
      <w:r>
        <w:t>Lorsque l’utilisateur demande une analyse nécessitant une capacité Premium ou Pro, l’application doit afficher un refus clair et une proposition de montée en gamme.</w:t>
      </w:r>
    </w:p>
    <w:p>
      <w:pPr>
        <w:pStyle w:val="Heading1"/>
      </w:pPr>
      <w:r>
        <w:t>4. Plan PREMIUM</w:t>
      </w:r>
    </w:p>
    <w:p>
      <w:r>
        <w:t>Rôle : répondre aux besoins d’un éleveur qui veut utiliser l’Assistant avec le contexte réel de son élevage.</w:t>
      </w:r>
    </w:p>
    <w:p>
      <w:pPr>
        <w:pStyle w:val="Heading2"/>
      </w:pPr>
      <w:r>
        <w:t>Ce que PREMIUM ajoute</w:t>
      </w:r>
    </w:p>
    <w:p>
      <w:pPr>
        <w:pStyle w:val="ListBullet"/>
      </w:pPr>
      <w:r>
        <w:t>100 requêtes Assistant IA par jour.</w:t>
      </w:r>
    </w:p>
    <w:p>
      <w:pPr>
        <w:pStyle w:val="ListBullet"/>
      </w:pPr>
      <w:r>
        <w:t>Accès au contexte d’un oiseau lorsque la question le nécessite.</w:t>
      </w:r>
    </w:p>
    <w:p>
      <w:pPr>
        <w:pStyle w:val="ListBullet"/>
      </w:pPr>
      <w:r>
        <w:t>Accès au contexte d’élevage et aux données pertinentes autorisées.</w:t>
      </w:r>
    </w:p>
    <w:p>
      <w:pPr>
        <w:pStyle w:val="ListBullet"/>
      </w:pPr>
      <w:r>
        <w:t>Analyses de reproduction.</w:t>
      </w:r>
    </w:p>
    <w:p>
      <w:pPr>
        <w:pStyle w:val="ListBullet"/>
      </w:pPr>
      <w:r>
        <w:t>Analyses de santé dans le périmètre défini par le système de sécurité.</w:t>
      </w:r>
    </w:p>
    <w:p>
      <w:pPr>
        <w:pStyle w:val="ListBullet"/>
      </w:pPr>
      <w:r>
        <w:t>Réponses contextualisées à partir des données locales de l’utilisateur.</w:t>
      </w:r>
    </w:p>
    <w:p>
      <w:pPr>
        <w:pStyle w:val="ListBullet"/>
      </w:pPr>
      <w:r>
        <w:t>Conservation locale des conversations et du quota.</w:t>
      </w:r>
    </w:p>
    <w:p>
      <w:pPr>
        <w:pStyle w:val="Heading2"/>
      </w:pPr>
      <w:r>
        <w:t>Limites par rapport à PRO</w:t>
      </w:r>
    </w:p>
    <w:p>
      <w:pPr>
        <w:pStyle w:val="ListBullet"/>
      </w:pPr>
      <w:r>
        <w:t>Pas de quota IA illimité.</w:t>
      </w:r>
    </w:p>
    <w:p>
      <w:pPr>
        <w:pStyle w:val="ListBullet"/>
      </w:pPr>
      <w:r>
        <w:t>Pas d’ensemble complet des analyses avancées.</w:t>
      </w:r>
    </w:p>
    <w:p>
      <w:pPr>
        <w:pStyle w:val="ListBullet"/>
      </w:pPr>
      <w:r>
        <w:t>Pas d’accès Pro à la généalogie complexe.</w:t>
      </w:r>
    </w:p>
    <w:p>
      <w:pPr>
        <w:pStyle w:val="ListBullet"/>
      </w:pPr>
      <w:r>
        <w:t>Assistance aux rapports limitée par rapport à PRO.</w:t>
      </w:r>
    </w:p>
    <w:p>
      <w:pPr>
        <w:pStyle w:val="Heading1"/>
      </w:pPr>
      <w:r>
        <w:t>5. Plan PRO</w:t>
      </w:r>
    </w:p>
    <w:p>
      <w:r>
        <w:t>Rôle : niveau expert destiné à l’utilisateur qui veut exploiter toute la puissance analytique de Bird Academy.</w:t>
      </w:r>
    </w:p>
    <w:p>
      <w:pPr>
        <w:pStyle w:val="Heading2"/>
      </w:pPr>
      <w:r>
        <w:t>Ce que PRO ajoute</w:t>
      </w:r>
    </w:p>
    <w:p>
      <w:pPr>
        <w:pStyle w:val="ListBullet"/>
      </w:pPr>
      <w:r>
        <w:t>Assistant IA complet.</w:t>
      </w:r>
    </w:p>
    <w:p>
      <w:pPr>
        <w:pStyle w:val="ListBullet"/>
      </w:pPr>
      <w:r>
        <w:t>Requêtes IA illimitées.</w:t>
      </w:r>
    </w:p>
    <w:p>
      <w:pPr>
        <w:pStyle w:val="ListBullet"/>
      </w:pPr>
      <w:r>
        <w:t>Accès aux capacités avancées.</w:t>
      </w:r>
    </w:p>
    <w:p>
      <w:pPr>
        <w:pStyle w:val="ListBullet"/>
      </w:pPr>
      <w:r>
        <w:t>Analyse approfondie des données d’élevage selon les permissions.</w:t>
      </w:r>
    </w:p>
    <w:p>
      <w:pPr>
        <w:pStyle w:val="ListBullet"/>
      </w:pPr>
      <w:r>
        <w:t>Explication des résultats de Bird Intelligence.</w:t>
      </w:r>
    </w:p>
    <w:p>
      <w:pPr>
        <w:pStyle w:val="ListBullet"/>
      </w:pPr>
      <w:r>
        <w:t>Analyses avancées.</w:t>
      </w:r>
    </w:p>
    <w:p>
      <w:pPr>
        <w:pStyle w:val="ListBullet"/>
      </w:pPr>
      <w:r>
        <w:t>Assistance aux rapports.</w:t>
      </w:r>
    </w:p>
    <w:p>
      <w:pPr>
        <w:pStyle w:val="ListBullet"/>
      </w:pPr>
      <w:r>
        <w:t>Généalogie complexe et analyse de lignées.</w:t>
      </w:r>
    </w:p>
    <w:p>
      <w:pPr>
        <w:pStyle w:val="ListBullet"/>
      </w:pPr>
      <w:r>
        <w:t>Utilisation du contexte minimal nécessaire afin de préserver la confidentialité.</w:t>
      </w:r>
    </w:p>
    <w:p>
      <w:r>
        <w:t>Point important : PRO ne signifie pas que l’IA peut lire toutes les données sans contrôle. L’architecture retenue applique le principe « Minimum Necessary Context » : seules les données nécessaires à la question sont chargées.</w:t>
      </w:r>
    </w:p>
    <w:p>
      <w:pPr>
        <w:pStyle w:val="Heading1"/>
      </w:pPr>
      <w:r>
        <w:t>6. Matrice des capacités de l’Assistant IA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CFE2F3"/>
          </w:tcPr>
          <w:p>
            <w:r/>
            <w:r>
              <w:rPr>
                <w:b/>
                <w:sz w:val="18"/>
              </w:rPr>
              <w:t>Capacité</w:t>
            </w:r>
          </w:p>
        </w:tc>
        <w:tc>
          <w:tcPr>
            <w:tcW w:type="dxa" w:w="2493"/>
            <w:vAlign w:val="center"/>
            <w:shd w:fill="CFE2F3"/>
          </w:tcPr>
          <w:p>
            <w:r/>
            <w:r>
              <w:rPr>
                <w:b/>
                <w:sz w:val="18"/>
              </w:rPr>
              <w:t>FREE</w:t>
            </w:r>
          </w:p>
        </w:tc>
        <w:tc>
          <w:tcPr>
            <w:tcW w:type="dxa" w:w="2493"/>
            <w:vAlign w:val="center"/>
            <w:shd w:fill="CFE2F3"/>
          </w:tcPr>
          <w:p>
            <w:r/>
            <w:r>
              <w:rPr>
                <w:b/>
                <w:sz w:val="18"/>
              </w:rPr>
              <w:t>PREMIUM</w:t>
            </w:r>
          </w:p>
        </w:tc>
        <w:tc>
          <w:tcPr>
            <w:tcW w:type="dxa" w:w="2493"/>
            <w:vAlign w:val="center"/>
            <w:shd w:fill="CFE2F3"/>
          </w:tcPr>
          <w:p>
            <w:r/>
            <w:r>
              <w:rPr>
                <w:b/>
                <w:sz w:val="18"/>
              </w:rPr>
              <w:t>PRO</w:t>
            </w:r>
          </w:p>
        </w:tc>
      </w:tr>
      <w:tr>
        <w:tc>
          <w:tcPr>
            <w:tcW w:type="dxa" w:w="2493"/>
            <w:vAlign w:val="center"/>
          </w:tcPr>
          <w:p>
            <w:r/>
            <w:r>
              <w:rPr>
                <w:b w:val="0"/>
                <w:sz w:val="18"/>
              </w:rPr>
              <w:t>Connaissances générales</w:t>
            </w:r>
          </w:p>
        </w:tc>
        <w:tc>
          <w:tcPr>
            <w:tcW w:type="dxa" w:w="2493"/>
            <w:vAlign w:val="center"/>
          </w:tcPr>
          <w:p>
            <w:r/>
            <w:r>
              <w:rPr>
                <w:b w:val="0"/>
                <w:sz w:val="18"/>
              </w:rPr>
              <w:t>Oui</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Référentiel biologique</w:t>
            </w:r>
          </w:p>
        </w:tc>
        <w:tc>
          <w:tcPr>
            <w:tcW w:type="dxa" w:w="2493"/>
            <w:vAlign w:val="center"/>
          </w:tcPr>
          <w:p>
            <w:r/>
            <w:r>
              <w:rPr>
                <w:b w:val="0"/>
                <w:sz w:val="18"/>
              </w:rPr>
              <w:t>Oui</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Contexte d’un oiseau</w:t>
            </w:r>
          </w:p>
        </w:tc>
        <w:tc>
          <w:tcPr>
            <w:tcW w:type="dxa" w:w="2493"/>
            <w:vAlign w:val="center"/>
          </w:tcPr>
          <w:p>
            <w:r/>
            <w:r>
              <w:rPr>
                <w:b w:val="0"/>
                <w:sz w:val="18"/>
              </w:rPr>
              <w:t>Non</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Contexte élevage</w:t>
            </w:r>
          </w:p>
        </w:tc>
        <w:tc>
          <w:tcPr>
            <w:tcW w:type="dxa" w:w="2493"/>
            <w:vAlign w:val="center"/>
          </w:tcPr>
          <w:p>
            <w:r/>
            <w:r>
              <w:rPr>
                <w:b w:val="0"/>
                <w:sz w:val="18"/>
              </w:rPr>
              <w:t>Non</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Analyse reproduction</w:t>
            </w:r>
          </w:p>
        </w:tc>
        <w:tc>
          <w:tcPr>
            <w:tcW w:type="dxa" w:w="2493"/>
            <w:vAlign w:val="center"/>
          </w:tcPr>
          <w:p>
            <w:r/>
            <w:r>
              <w:rPr>
                <w:b w:val="0"/>
                <w:sz w:val="18"/>
              </w:rPr>
              <w:t>Non</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Analyse santé contextualisée</w:t>
            </w:r>
          </w:p>
        </w:tc>
        <w:tc>
          <w:tcPr>
            <w:tcW w:type="dxa" w:w="2493"/>
            <w:vAlign w:val="center"/>
          </w:tcPr>
          <w:p>
            <w:r/>
            <w:r>
              <w:rPr>
                <w:b w:val="0"/>
                <w:sz w:val="18"/>
              </w:rPr>
              <w:t>Non</w:t>
            </w:r>
          </w:p>
        </w:tc>
        <w:tc>
          <w:tcPr>
            <w:tcW w:type="dxa" w:w="2493"/>
            <w:vAlign w:val="center"/>
          </w:tcPr>
          <w:p>
            <w:r/>
            <w:r>
              <w:rPr>
                <w:b w:val="0"/>
                <w:sz w:val="18"/>
              </w:rPr>
              <w:t>Oui</w:t>
            </w:r>
          </w:p>
        </w:tc>
        <w:tc>
          <w:tcPr>
            <w:tcW w:type="dxa" w:w="2493"/>
            <w:vAlign w:val="center"/>
          </w:tcPr>
          <w:p>
            <w:r/>
            <w:r>
              <w:rPr>
                <w:b w:val="0"/>
                <w:sz w:val="18"/>
              </w:rPr>
              <w:t>Oui</w:t>
            </w:r>
          </w:p>
        </w:tc>
      </w:tr>
      <w:tr>
        <w:tc>
          <w:tcPr>
            <w:tcW w:type="dxa" w:w="2493"/>
            <w:vAlign w:val="center"/>
          </w:tcPr>
          <w:p>
            <w:r/>
            <w:r>
              <w:rPr>
                <w:b w:val="0"/>
                <w:sz w:val="18"/>
              </w:rPr>
              <w:t>Explication Bird Intelligence</w:t>
            </w:r>
          </w:p>
        </w:tc>
        <w:tc>
          <w:tcPr>
            <w:tcW w:type="dxa" w:w="2493"/>
            <w:vAlign w:val="center"/>
          </w:tcPr>
          <w:p>
            <w:r/>
            <w:r>
              <w:rPr>
                <w:b w:val="0"/>
                <w:sz w:val="18"/>
              </w:rPr>
              <w:t>Non</w:t>
            </w:r>
          </w:p>
        </w:tc>
        <w:tc>
          <w:tcPr>
            <w:tcW w:type="dxa" w:w="2493"/>
            <w:vAlign w:val="center"/>
          </w:tcPr>
          <w:p>
            <w:r/>
            <w:r>
              <w:rPr>
                <w:b w:val="0"/>
                <w:sz w:val="18"/>
              </w:rPr>
              <w:t>Selon matrice</w:t>
            </w:r>
          </w:p>
        </w:tc>
        <w:tc>
          <w:tcPr>
            <w:tcW w:type="dxa" w:w="2493"/>
            <w:vAlign w:val="center"/>
          </w:tcPr>
          <w:p>
            <w:r/>
            <w:r>
              <w:rPr>
                <w:b w:val="0"/>
                <w:sz w:val="18"/>
              </w:rPr>
              <w:t>Oui</w:t>
            </w:r>
          </w:p>
        </w:tc>
      </w:tr>
      <w:tr>
        <w:tc>
          <w:tcPr>
            <w:tcW w:type="dxa" w:w="2493"/>
            <w:vAlign w:val="center"/>
          </w:tcPr>
          <w:p>
            <w:r/>
            <w:r>
              <w:rPr>
                <w:b w:val="0"/>
                <w:sz w:val="18"/>
              </w:rPr>
              <w:t>Analyses avancées</w:t>
            </w:r>
          </w:p>
        </w:tc>
        <w:tc>
          <w:tcPr>
            <w:tcW w:type="dxa" w:w="2493"/>
            <w:vAlign w:val="center"/>
          </w:tcPr>
          <w:p>
            <w:r/>
            <w:r>
              <w:rPr>
                <w:b w:val="0"/>
                <w:sz w:val="18"/>
              </w:rPr>
              <w:t>Non</w:t>
            </w:r>
          </w:p>
        </w:tc>
        <w:tc>
          <w:tcPr>
            <w:tcW w:type="dxa" w:w="2493"/>
            <w:vAlign w:val="center"/>
          </w:tcPr>
          <w:p>
            <w:r/>
            <w:r>
              <w:rPr>
                <w:b w:val="0"/>
                <w:sz w:val="18"/>
              </w:rPr>
              <w:t>Non</w:t>
            </w:r>
          </w:p>
        </w:tc>
        <w:tc>
          <w:tcPr>
            <w:tcW w:type="dxa" w:w="2493"/>
            <w:vAlign w:val="center"/>
          </w:tcPr>
          <w:p>
            <w:r/>
            <w:r>
              <w:rPr>
                <w:b w:val="0"/>
                <w:sz w:val="18"/>
              </w:rPr>
              <w:t>Oui</w:t>
            </w:r>
          </w:p>
        </w:tc>
      </w:tr>
      <w:tr>
        <w:tc>
          <w:tcPr>
            <w:tcW w:type="dxa" w:w="2493"/>
            <w:vAlign w:val="center"/>
          </w:tcPr>
          <w:p>
            <w:r/>
            <w:r>
              <w:rPr>
                <w:b w:val="0"/>
                <w:sz w:val="18"/>
              </w:rPr>
              <w:t>Généalogie complexe</w:t>
            </w:r>
          </w:p>
        </w:tc>
        <w:tc>
          <w:tcPr>
            <w:tcW w:type="dxa" w:w="2493"/>
            <w:vAlign w:val="center"/>
          </w:tcPr>
          <w:p>
            <w:r/>
            <w:r>
              <w:rPr>
                <w:b w:val="0"/>
                <w:sz w:val="18"/>
              </w:rPr>
              <w:t>Non</w:t>
            </w:r>
          </w:p>
        </w:tc>
        <w:tc>
          <w:tcPr>
            <w:tcW w:type="dxa" w:w="2493"/>
            <w:vAlign w:val="center"/>
          </w:tcPr>
          <w:p>
            <w:r/>
            <w:r>
              <w:rPr>
                <w:b w:val="0"/>
                <w:sz w:val="18"/>
              </w:rPr>
              <w:t>Non</w:t>
            </w:r>
          </w:p>
        </w:tc>
        <w:tc>
          <w:tcPr>
            <w:tcW w:type="dxa" w:w="2493"/>
            <w:vAlign w:val="center"/>
          </w:tcPr>
          <w:p>
            <w:r/>
            <w:r>
              <w:rPr>
                <w:b w:val="0"/>
                <w:sz w:val="18"/>
              </w:rPr>
              <w:t>Oui</w:t>
            </w:r>
          </w:p>
        </w:tc>
      </w:tr>
      <w:tr>
        <w:tc>
          <w:tcPr>
            <w:tcW w:type="dxa" w:w="2493"/>
            <w:vAlign w:val="center"/>
          </w:tcPr>
          <w:p>
            <w:r/>
            <w:r>
              <w:rPr>
                <w:b w:val="0"/>
                <w:sz w:val="18"/>
              </w:rPr>
              <w:t>Assistance rapports</w:t>
            </w:r>
          </w:p>
        </w:tc>
        <w:tc>
          <w:tcPr>
            <w:tcW w:type="dxa" w:w="2493"/>
            <w:vAlign w:val="center"/>
          </w:tcPr>
          <w:p>
            <w:r/>
            <w:r>
              <w:rPr>
                <w:b w:val="0"/>
                <w:sz w:val="18"/>
              </w:rPr>
              <w:t>Non</w:t>
            </w:r>
          </w:p>
        </w:tc>
        <w:tc>
          <w:tcPr>
            <w:tcW w:type="dxa" w:w="2493"/>
            <w:vAlign w:val="center"/>
          </w:tcPr>
          <w:p>
            <w:r/>
            <w:r>
              <w:rPr>
                <w:b w:val="0"/>
                <w:sz w:val="18"/>
              </w:rPr>
              <w:t>Limité</w:t>
            </w:r>
          </w:p>
        </w:tc>
        <w:tc>
          <w:tcPr>
            <w:tcW w:type="dxa" w:w="2493"/>
            <w:vAlign w:val="center"/>
          </w:tcPr>
          <w:p>
            <w:r/>
            <w:r>
              <w:rPr>
                <w:b w:val="0"/>
                <w:sz w:val="18"/>
              </w:rPr>
              <w:t>Oui</w:t>
            </w:r>
          </w:p>
        </w:tc>
      </w:tr>
      <w:tr>
        <w:tc>
          <w:tcPr>
            <w:tcW w:type="dxa" w:w="2493"/>
            <w:vAlign w:val="center"/>
          </w:tcPr>
          <w:p>
            <w:r/>
            <w:r>
              <w:rPr>
                <w:b w:val="0"/>
                <w:sz w:val="18"/>
              </w:rPr>
              <w:t>Quota quotidien</w:t>
            </w:r>
          </w:p>
        </w:tc>
        <w:tc>
          <w:tcPr>
            <w:tcW w:type="dxa" w:w="2493"/>
            <w:vAlign w:val="center"/>
          </w:tcPr>
          <w:p>
            <w:r/>
            <w:r>
              <w:rPr>
                <w:b w:val="0"/>
                <w:sz w:val="18"/>
              </w:rPr>
              <w:t>10</w:t>
            </w:r>
          </w:p>
        </w:tc>
        <w:tc>
          <w:tcPr>
            <w:tcW w:type="dxa" w:w="2493"/>
            <w:vAlign w:val="center"/>
          </w:tcPr>
          <w:p>
            <w:r/>
            <w:r>
              <w:rPr>
                <w:b w:val="0"/>
                <w:sz w:val="18"/>
              </w:rPr>
              <w:t>100</w:t>
            </w:r>
          </w:p>
        </w:tc>
        <w:tc>
          <w:tcPr>
            <w:tcW w:type="dxa" w:w="2493"/>
            <w:vAlign w:val="center"/>
          </w:tcPr>
          <w:p>
            <w:r/>
            <w:r>
              <w:rPr>
                <w:b w:val="0"/>
                <w:sz w:val="18"/>
              </w:rPr>
              <w:t>Illimité</w:t>
            </w:r>
          </w:p>
        </w:tc>
      </w:tr>
    </w:tbl>
    <w:p>
      <w:pPr>
        <w:pStyle w:val="Heading1"/>
      </w:pPr>
      <w:r>
        <w:t>7. Comment relier les plans aux licences LMSE</w:t>
      </w:r>
    </w:p>
    <w:p>
      <w:r>
        <w:t>Le principe recommandé est de ne pas considérer FREE, PREMIUM et PRO comme trois applications différentes. Il s’agit d’une même application dont les capacités sont activées ou verrouillées selon les droits de la licence.</w:t>
      </w:r>
    </w:p>
    <w:p>
      <w:pPr>
        <w:pStyle w:val="Heading2"/>
      </w:pPr>
      <w:r>
        <w:t>Chaîne logique</w:t>
      </w:r>
    </w:p>
    <w:p>
      <w:pPr>
        <w:pStyle w:val="ListBullet"/>
      </w:pPr>
      <w:r>
        <w:t>Licence LMSE chargée/validée.</w:t>
      </w:r>
    </w:p>
    <w:p>
      <w:pPr>
        <w:pStyle w:val="ListBullet"/>
      </w:pPr>
      <w:r>
        <w:t>Le moteur de licence détermine le type de licence et son statut.</w:t>
      </w:r>
    </w:p>
    <w:p>
      <w:pPr>
        <w:pStyle w:val="ListBullet"/>
      </w:pPr>
      <w:r>
        <w:t>Le système résout le plan commercial correspondant : FREE, PREMIUM ou PRO.</w:t>
      </w:r>
    </w:p>
    <w:p>
      <w:pPr>
        <w:pStyle w:val="ListBullet"/>
      </w:pPr>
      <w:r>
        <w:t>AssistantPermissionProvider charge la matrice des capacités du plan.</w:t>
      </w:r>
    </w:p>
    <w:p>
      <w:pPr>
        <w:pStyle w:val="ListBullet"/>
      </w:pPr>
      <w:r>
        <w:t>AssistantPermissionService vérifie chaque capacité avant de charger le contexte ou d’exécuter une opération.</w:t>
      </w:r>
    </w:p>
    <w:p>
      <w:pPr>
        <w:pStyle w:val="ListBullet"/>
      </w:pPr>
      <w:r>
        <w:t>QuotaManager applique la limite quotidienne lorsqu’elle existe.</w:t>
      </w:r>
    </w:p>
    <w:p>
      <w:pPr>
        <w:pStyle w:val="ListBullet"/>
      </w:pPr>
      <w:r>
        <w:t>L’interface affiche le plan actif et les capacités disponibles.</w:t>
      </w:r>
    </w:p>
    <w:p>
      <w:pPr>
        <w:pStyle w:val="Heading2"/>
      </w:pPr>
      <w:r>
        <w:t>Exemple conceptuel</w:t>
      </w:r>
    </w:p>
    <w:p>
      <w:r>
        <w:t>Une licence valide indiquant PRO doit conduire localement à une configuration équivalente à : tier = PRO → quota = illimité → capacités avancées activées. Une licence PREMIUM doit conduire à : tier = PREMIUM → quota = 100/jour → contexte élevage activé, mais capacités Pro verrouillées.</w:t>
      </w:r>
    </w:p>
    <w:p>
      <w:pPr>
        <w:pStyle w:val="Heading2"/>
      </w:pPr>
      <w:r>
        <w:t>Statuts de licence</w:t>
      </w:r>
    </w:p>
    <w:p>
      <w:pPr>
        <w:pStyle w:val="ListBullet"/>
      </w:pPr>
      <w:r>
        <w:t>ACTIVE : les droits du plan sont applicables.</w:t>
      </w:r>
    </w:p>
    <w:p>
      <w:pPr>
        <w:pStyle w:val="ListBullet"/>
      </w:pPr>
      <w:r>
        <w:t>EXPIRED : les droits doivent être verrouillés selon les règles de sécurité prévues.</w:t>
      </w:r>
    </w:p>
    <w:p>
      <w:pPr>
        <w:pStyle w:val="ListBullet"/>
      </w:pPr>
      <w:r>
        <w:t>INVALID / ALTÉRÉE : l’application doit refuser l’utilisation des droits protégés et revenir au mécanisme d’activation prévu.</w:t>
      </w:r>
    </w:p>
    <w:p>
      <w:pPr>
        <w:pStyle w:val="ListBullet"/>
      </w:pPr>
      <w:r>
        <w:t>ENTERPRISE : doit être traité comme un niveau de licence distinct si la matrice LMSE le prévoit ; il ne faut pas l’assimiler automatiquement à PRO sans règle explicite.</w:t>
      </w:r>
    </w:p>
    <w:p>
      <w:pPr>
        <w:pStyle w:val="Heading1"/>
      </w:pPr>
      <w:r>
        <w:t>8. Règle fondamentale : fonctionnement hors ligne</w:t>
      </w:r>
    </w:p>
    <w:p>
      <w:pPr>
        <w:pStyle w:val="ListBullet"/>
      </w:pPr>
      <w:r>
        <w:t>Les données de l’élevage restent locales.</w:t>
      </w:r>
    </w:p>
    <w:p>
      <w:pPr>
        <w:pStyle w:val="ListBullet"/>
      </w:pPr>
      <w:r>
        <w:t>Les décisions de permission doivent être exécutables localement.</w:t>
      </w:r>
    </w:p>
    <w:p>
      <w:pPr>
        <w:pStyle w:val="ListBullet"/>
      </w:pPr>
      <w:r>
        <w:t>L’Assistant IA ne doit pas envoyer les données vers un service distant.</w:t>
      </w:r>
    </w:p>
    <w:p>
      <w:pPr>
        <w:pStyle w:val="ListBullet"/>
      </w:pPr>
      <w:r>
        <w:t>Aucun appel OpenAI, Gemini, Anthropic ou autre API cloud ne doit être nécessaire au fonctionnement défini.</w:t>
      </w:r>
    </w:p>
    <w:p>
      <w:pPr>
        <w:pStyle w:val="ListBullet"/>
      </w:pPr>
      <w:r>
        <w:t>Si le moteur LLM local n’est pas disponible, l’application doit rester honnête et afficher un état AI_ENGINE_UNAVAILABLE plutôt que d’inventer une réponse.</w:t>
      </w:r>
    </w:p>
    <w:p>
      <w:pPr>
        <w:pStyle w:val="Heading1"/>
      </w:pPr>
      <w:r>
        <w:t>9. Expérience utilisateur par plan</w:t>
      </w:r>
    </w:p>
    <w:tbl>
      <w:tblPr>
        <w:tblStyle w:val="TableGrid"/>
        <w:tblW w:type="auto" w:w="0"/>
        <w:tblLook w:firstColumn="1" w:firstRow="1" w:lastColumn="0" w:lastRow="0" w:noHBand="0" w:noVBand="1" w:val="04A0"/>
      </w:tblPr>
      <w:tblGrid>
        <w:gridCol w:w="2493"/>
        <w:gridCol w:w="2493"/>
        <w:gridCol w:w="2493"/>
        <w:gridCol w:w="2493"/>
      </w:tblGrid>
      <w:tr>
        <w:tc>
          <w:tcPr>
            <w:tcW w:type="dxa" w:w="2493"/>
            <w:vAlign w:val="center"/>
            <w:shd w:fill="FCE5CD"/>
          </w:tcPr>
          <w:p>
            <w:r/>
            <w:r>
              <w:rPr>
                <w:b/>
                <w:sz w:val="18"/>
              </w:rPr>
              <w:t>Étape</w:t>
            </w:r>
          </w:p>
        </w:tc>
        <w:tc>
          <w:tcPr>
            <w:tcW w:type="dxa" w:w="2493"/>
            <w:vAlign w:val="center"/>
            <w:shd w:fill="FCE5CD"/>
          </w:tcPr>
          <w:p>
            <w:r/>
            <w:r>
              <w:rPr>
                <w:b/>
                <w:sz w:val="18"/>
              </w:rPr>
              <w:t>FREE</w:t>
            </w:r>
          </w:p>
        </w:tc>
        <w:tc>
          <w:tcPr>
            <w:tcW w:type="dxa" w:w="2493"/>
            <w:vAlign w:val="center"/>
            <w:shd w:fill="FCE5CD"/>
          </w:tcPr>
          <w:p>
            <w:r/>
            <w:r>
              <w:rPr>
                <w:b/>
                <w:sz w:val="18"/>
              </w:rPr>
              <w:t>PREMIUM</w:t>
            </w:r>
          </w:p>
        </w:tc>
        <w:tc>
          <w:tcPr>
            <w:tcW w:type="dxa" w:w="2493"/>
            <w:vAlign w:val="center"/>
            <w:shd w:fill="FCE5CD"/>
          </w:tcPr>
          <w:p>
            <w:r/>
            <w:r>
              <w:rPr>
                <w:b/>
                <w:sz w:val="18"/>
              </w:rPr>
              <w:t>PRO</w:t>
            </w:r>
          </w:p>
        </w:tc>
      </w:tr>
      <w:tr>
        <w:tc>
          <w:tcPr>
            <w:tcW w:type="dxa" w:w="2493"/>
            <w:vAlign w:val="center"/>
          </w:tcPr>
          <w:p>
            <w:r/>
            <w:r>
              <w:rPr>
                <w:b w:val="0"/>
                <w:sz w:val="18"/>
              </w:rPr>
              <w:t>Ouverture Assistant</w:t>
            </w:r>
          </w:p>
        </w:tc>
        <w:tc>
          <w:tcPr>
            <w:tcW w:type="dxa" w:w="2493"/>
            <w:vAlign w:val="center"/>
          </w:tcPr>
          <w:p>
            <w:r/>
            <w:r>
              <w:rPr>
                <w:b w:val="0"/>
                <w:sz w:val="18"/>
              </w:rPr>
              <w:t>Accessible selon droits</w:t>
            </w:r>
          </w:p>
        </w:tc>
        <w:tc>
          <w:tcPr>
            <w:tcW w:type="dxa" w:w="2493"/>
            <w:vAlign w:val="center"/>
          </w:tcPr>
          <w:p>
            <w:r/>
            <w:r>
              <w:rPr>
                <w:b w:val="0"/>
                <w:sz w:val="18"/>
              </w:rPr>
              <w:t>Accessible</w:t>
            </w:r>
          </w:p>
        </w:tc>
        <w:tc>
          <w:tcPr>
            <w:tcW w:type="dxa" w:w="2493"/>
            <w:vAlign w:val="center"/>
          </w:tcPr>
          <w:p>
            <w:r/>
            <w:r>
              <w:rPr>
                <w:b w:val="0"/>
                <w:sz w:val="18"/>
              </w:rPr>
              <w:t>Accessible</w:t>
            </w:r>
          </w:p>
        </w:tc>
      </w:tr>
      <w:tr>
        <w:tc>
          <w:tcPr>
            <w:tcW w:type="dxa" w:w="2493"/>
            <w:vAlign w:val="center"/>
          </w:tcPr>
          <w:p>
            <w:r/>
            <w:r>
              <w:rPr>
                <w:b w:val="0"/>
                <w:sz w:val="18"/>
              </w:rPr>
              <w:t>Question générale</w:t>
            </w:r>
          </w:p>
        </w:tc>
        <w:tc>
          <w:tcPr>
            <w:tcW w:type="dxa" w:w="2493"/>
            <w:vAlign w:val="center"/>
          </w:tcPr>
          <w:p>
            <w:r/>
            <w:r>
              <w:rPr>
                <w:b w:val="0"/>
                <w:sz w:val="18"/>
              </w:rPr>
              <w:t>Réponse autorisée</w:t>
            </w:r>
          </w:p>
        </w:tc>
        <w:tc>
          <w:tcPr>
            <w:tcW w:type="dxa" w:w="2493"/>
            <w:vAlign w:val="center"/>
          </w:tcPr>
          <w:p>
            <w:r/>
            <w:r>
              <w:rPr>
                <w:b w:val="0"/>
                <w:sz w:val="18"/>
              </w:rPr>
              <w:t>Réponse autorisée</w:t>
            </w:r>
          </w:p>
        </w:tc>
        <w:tc>
          <w:tcPr>
            <w:tcW w:type="dxa" w:w="2493"/>
            <w:vAlign w:val="center"/>
          </w:tcPr>
          <w:p>
            <w:r/>
            <w:r>
              <w:rPr>
                <w:b w:val="0"/>
                <w:sz w:val="18"/>
              </w:rPr>
              <w:t>Réponse autorisée</w:t>
            </w:r>
          </w:p>
        </w:tc>
      </w:tr>
      <w:tr>
        <w:tc>
          <w:tcPr>
            <w:tcW w:type="dxa" w:w="2493"/>
            <w:vAlign w:val="center"/>
          </w:tcPr>
          <w:p>
            <w:r/>
            <w:r>
              <w:rPr>
                <w:b w:val="0"/>
                <w:sz w:val="18"/>
              </w:rPr>
              <w:t>Question sur son oiseau</w:t>
            </w:r>
          </w:p>
        </w:tc>
        <w:tc>
          <w:tcPr>
            <w:tcW w:type="dxa" w:w="2493"/>
            <w:vAlign w:val="center"/>
          </w:tcPr>
          <w:p>
            <w:r/>
            <w:r>
              <w:rPr>
                <w:b w:val="0"/>
                <w:sz w:val="18"/>
              </w:rPr>
              <w:t>Verrouillée</w:t>
            </w:r>
          </w:p>
        </w:tc>
        <w:tc>
          <w:tcPr>
            <w:tcW w:type="dxa" w:w="2493"/>
            <w:vAlign w:val="center"/>
          </w:tcPr>
          <w:p>
            <w:r/>
            <w:r>
              <w:rPr>
                <w:b w:val="0"/>
                <w:sz w:val="18"/>
              </w:rPr>
              <w:t>Autorisée</w:t>
            </w:r>
          </w:p>
        </w:tc>
        <w:tc>
          <w:tcPr>
            <w:tcW w:type="dxa" w:w="2493"/>
            <w:vAlign w:val="center"/>
          </w:tcPr>
          <w:p>
            <w:r/>
            <w:r>
              <w:rPr>
                <w:b w:val="0"/>
                <w:sz w:val="18"/>
              </w:rPr>
              <w:t>Autorisée</w:t>
            </w:r>
          </w:p>
        </w:tc>
      </w:tr>
      <w:tr>
        <w:tc>
          <w:tcPr>
            <w:tcW w:type="dxa" w:w="2493"/>
            <w:vAlign w:val="center"/>
          </w:tcPr>
          <w:p>
            <w:r/>
            <w:r>
              <w:rPr>
                <w:b w:val="0"/>
                <w:sz w:val="18"/>
              </w:rPr>
              <w:t>Analyse avancée</w:t>
            </w:r>
          </w:p>
        </w:tc>
        <w:tc>
          <w:tcPr>
            <w:tcW w:type="dxa" w:w="2493"/>
            <w:vAlign w:val="center"/>
          </w:tcPr>
          <w:p>
            <w:r/>
            <w:r>
              <w:rPr>
                <w:b w:val="0"/>
                <w:sz w:val="18"/>
              </w:rPr>
              <w:t>Upgrade</w:t>
            </w:r>
          </w:p>
        </w:tc>
        <w:tc>
          <w:tcPr>
            <w:tcW w:type="dxa" w:w="2493"/>
            <w:vAlign w:val="center"/>
          </w:tcPr>
          <w:p>
            <w:r/>
            <w:r>
              <w:rPr>
                <w:b w:val="0"/>
                <w:sz w:val="18"/>
              </w:rPr>
              <w:t>Upgrade</w:t>
            </w:r>
          </w:p>
        </w:tc>
        <w:tc>
          <w:tcPr>
            <w:tcW w:type="dxa" w:w="2493"/>
            <w:vAlign w:val="center"/>
          </w:tcPr>
          <w:p>
            <w:r/>
            <w:r>
              <w:rPr>
                <w:b w:val="0"/>
                <w:sz w:val="18"/>
              </w:rPr>
              <w:t>Autorisée</w:t>
            </w:r>
          </w:p>
        </w:tc>
      </w:tr>
      <w:tr>
        <w:tc>
          <w:tcPr>
            <w:tcW w:type="dxa" w:w="2493"/>
            <w:vAlign w:val="center"/>
          </w:tcPr>
          <w:p>
            <w:r/>
            <w:r>
              <w:rPr>
                <w:b w:val="0"/>
                <w:sz w:val="18"/>
              </w:rPr>
              <w:t>Quota atteint</w:t>
            </w:r>
          </w:p>
        </w:tc>
        <w:tc>
          <w:tcPr>
            <w:tcW w:type="dxa" w:w="2493"/>
            <w:vAlign w:val="center"/>
          </w:tcPr>
          <w:p>
            <w:r/>
            <w:r>
              <w:rPr>
                <w:b w:val="0"/>
                <w:sz w:val="18"/>
              </w:rPr>
              <w:t>Bloqué jusqu’au reset</w:t>
            </w:r>
          </w:p>
        </w:tc>
        <w:tc>
          <w:tcPr>
            <w:tcW w:type="dxa" w:w="2493"/>
            <w:vAlign w:val="center"/>
          </w:tcPr>
          <w:p>
            <w:r/>
            <w:r>
              <w:rPr>
                <w:b w:val="0"/>
                <w:sz w:val="18"/>
              </w:rPr>
              <w:t>Bloqué jusqu’au reset</w:t>
            </w:r>
          </w:p>
        </w:tc>
        <w:tc>
          <w:tcPr>
            <w:tcW w:type="dxa" w:w="2493"/>
            <w:vAlign w:val="center"/>
          </w:tcPr>
          <w:p>
            <w:r/>
            <w:r>
              <w:rPr>
                <w:b w:val="0"/>
                <w:sz w:val="18"/>
              </w:rPr>
              <w:t>Jamais atteint par quota</w:t>
            </w:r>
          </w:p>
        </w:tc>
      </w:tr>
      <w:tr>
        <w:tc>
          <w:tcPr>
            <w:tcW w:type="dxa" w:w="2493"/>
            <w:vAlign w:val="center"/>
          </w:tcPr>
          <w:p>
            <w:r/>
            <w:r>
              <w:rPr>
                <w:b w:val="0"/>
                <w:sz w:val="18"/>
              </w:rPr>
              <w:t>Changement de licence</w:t>
            </w:r>
          </w:p>
        </w:tc>
        <w:tc>
          <w:tcPr>
            <w:tcW w:type="dxa" w:w="2493"/>
            <w:vAlign w:val="center"/>
          </w:tcPr>
          <w:p>
            <w:r/>
            <w:r>
              <w:rPr>
                <w:b w:val="0"/>
                <w:sz w:val="18"/>
              </w:rPr>
              <w:t>Droits recalculés</w:t>
            </w:r>
          </w:p>
        </w:tc>
        <w:tc>
          <w:tcPr>
            <w:tcW w:type="dxa" w:w="2493"/>
            <w:vAlign w:val="center"/>
          </w:tcPr>
          <w:p>
            <w:r/>
            <w:r>
              <w:rPr>
                <w:b w:val="0"/>
                <w:sz w:val="18"/>
              </w:rPr>
              <w:t>Droits recalculés</w:t>
            </w:r>
          </w:p>
        </w:tc>
        <w:tc>
          <w:tcPr>
            <w:tcW w:type="dxa" w:w="2493"/>
            <w:vAlign w:val="center"/>
          </w:tcPr>
          <w:p>
            <w:r/>
            <w:r>
              <w:rPr>
                <w:b w:val="0"/>
                <w:sz w:val="18"/>
              </w:rPr>
              <w:t>Droits recalculés</w:t>
            </w:r>
          </w:p>
        </w:tc>
      </w:tr>
    </w:tbl>
    <w:p>
      <w:pPr>
        <w:pStyle w:val="Heading1"/>
      </w:pPr>
      <w:r>
        <w:t>10. Stratégie de test recommandée</w:t>
      </w:r>
    </w:p>
    <w:p>
      <w:r>
        <w:t>Les trois plans doivent être testés séparément, avec une licence correspondant exactement au scénario. Les tests fonctionnels doivent être exécutés dans le navigateur réel avec Playwright Test, conformément à la méthode désormais retenue pour Bird Academy.</w:t>
      </w:r>
    </w:p>
    <w:p>
      <w:pPr>
        <w:pStyle w:val="ListBullet"/>
      </w:pPr>
      <w:r>
        <w:t>FREE : vérifier accès, quota 10, blocage des données personnelles et messages d’upgrade.</w:t>
      </w:r>
    </w:p>
    <w:p>
      <w:pPr>
        <w:pStyle w:val="ListBullet"/>
      </w:pPr>
      <w:r>
        <w:t>PREMIUM : vérifier quota 100, accès contexte élevage et verrouillage des capacités Pro.</w:t>
      </w:r>
    </w:p>
    <w:p>
      <w:pPr>
        <w:pStyle w:val="ListBullet"/>
      </w:pPr>
      <w:r>
        <w:t>PRO : vérifier quota illimité et toutes les capacités Pro.</w:t>
      </w:r>
    </w:p>
    <w:p>
      <w:pPr>
        <w:pStyle w:val="ListBullet"/>
      </w:pPr>
      <w:r>
        <w:t>Licence expirée : vérifier verrouillage.</w:t>
      </w:r>
    </w:p>
    <w:p>
      <w:pPr>
        <w:pStyle w:val="ListBullet"/>
      </w:pPr>
      <w:r>
        <w:t>Licence modifiée/altérée : vérifier détection.</w:t>
      </w:r>
    </w:p>
    <w:p>
      <w:pPr>
        <w:pStyle w:val="ListBullet"/>
      </w:pPr>
      <w:r>
        <w:t>Reload : vérifier persistance des droits.</w:t>
      </w:r>
    </w:p>
    <w:p>
      <w:pPr>
        <w:pStyle w:val="ListBullet"/>
      </w:pPr>
      <w:r>
        <w:t>Offline réel : vérifier absence de requêtes externes.</w:t>
      </w:r>
    </w:p>
    <w:p>
      <w:pPr>
        <w:pStyle w:val="ListBullet"/>
      </w:pPr>
      <w:r>
        <w:t>FR / EN / AR / ES / IT : vérifier traduction et RTL arabe.</w:t>
      </w:r>
    </w:p>
    <w:p>
      <w:pPr>
        <w:pStyle w:val="ListBullet"/>
      </w:pPr>
      <w:r>
        <w:t>Mobile 375×812 : vérifier absence d’overflow.</w:t>
      </w:r>
    </w:p>
    <w:p>
      <w:pPr>
        <w:pStyle w:val="ListBullet"/>
      </w:pPr>
      <w:r>
        <w:t>Régression globale : TypeScript + tests unitaires + Playwright + bundles + génération des artefacts physiques.</w:t>
      </w:r>
    </w:p>
    <w:p>
      <w:pPr>
        <w:pStyle w:val="Heading1"/>
      </w:pPr>
      <w:r>
        <w:t>11. Décision recommandée pour la suite</w:t>
      </w:r>
    </w:p>
    <w:p>
      <w:r>
        <w:t>La structure FREE / PREMIUM / PRO est cohérente avec l’architecture actuellement développée. La prochaine étape logique n’est pas de modifier les modules métier au hasard, mais de formaliser une matrice commerciale unique et de la relier proprement au moteur LMSE.</w:t>
      </w:r>
    </w:p>
    <w:p>
      <w:pPr>
        <w:pStyle w:val="ListBullet"/>
      </w:pPr>
      <w:r>
        <w:t>1. Geler la matrice officielle FREE / PREMIUM / PRO.</w:t>
      </w:r>
    </w:p>
    <w:p>
      <w:pPr>
        <w:pStyle w:val="ListBullet"/>
      </w:pPr>
      <w:r>
        <w:t>2. Définir pour chaque capacité son identifiant technique.</w:t>
      </w:r>
    </w:p>
    <w:p>
      <w:pPr>
        <w:pStyle w:val="ListBullet"/>
      </w:pPr>
      <w:r>
        <w:t>3. Définir les types de licences LMSE qui activent ces capacités.</w:t>
      </w:r>
    </w:p>
    <w:p>
      <w:pPr>
        <w:pStyle w:val="ListBullet"/>
      </w:pPr>
      <w:r>
        <w:t>4. Tester une licence FREE, puis PREMIUM, puis PRO avec Playwright.</w:t>
      </w:r>
    </w:p>
    <w:p>
      <w:pPr>
        <w:pStyle w:val="ListBullet"/>
      </w:pPr>
      <w:r>
        <w:t>5. Tester les transitions ACTIVE → EXPIRED → nouvelle licence.</w:t>
      </w:r>
    </w:p>
    <w:p>
      <w:pPr>
        <w:pStyle w:val="ListBullet"/>
      </w:pPr>
      <w:r>
        <w:t>6. Vérifier les exécutables Windows et APK correspondant aux builds de test.</w:t>
      </w:r>
    </w:p>
    <w:p>
      <w:pPr>
        <w:pStyle w:val="ListBullet"/>
      </w:pPr>
      <w:r>
        <w:t>7. Ne publier commercialement qu’après validation physique des trois scénarios.</w:t>
      </w:r>
    </w:p>
    <w:p>
      <w:pPr>
        <w:pStyle w:val="Heading1"/>
      </w:pPr>
      <w:r>
        <w:t>12. Conclusion</w:t>
      </w:r>
    </w:p>
    <w:p>
      <w:r>
        <w:t>FREE doit servir de porte d’entrée, PREMIUM doit apporter une vraie valeur de contextualisation de l’élevage, et PRO doit constituer le niveau expert avec l’Assistant IA complet et les capacités analytiques avancées. Cette progression est compatible avec l’architecture actuelle de Bird Academy, notamment AssistantPermissionService, AssistantPermissionProvider, QuotaManager, le principe Minimum Necessary Context et le système de licences LMSE.</w:t>
      </w:r>
    </w:p>
    <w:p>
      <w:r>
        <w:t>La priorité suivante est donc de transformer cette logique commerciale en une matrice de droits officiellement gelée, puis de vérifier chaque plan avec une licence LMSE dédiée et des tests Playwright indépendants.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