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ageBreakBefore w:val="0"/>
        <w:spacing w:before="240" w:after="80"/>
      </w:pPr>
      <w:r>
        <w:rPr>
          <w:rFonts w:ascii="Calibri" w:hAnsi="Calibri"/>
          <w:b/>
          <w:color w:val="0B63A6"/>
          <w:sz w:val="40"/>
        </w:rPr>
        <w:t>Business logic, page by page</w:t>
      </w:r>
    </w:p>
    <w:p>
      <w:r>
        <w:rPr>
          <w:i w:val="0"/>
          <w:color w:val="555F70"/>
          <w:sz w:val="20"/>
        </w:rPr>
        <w:t>For each page of the cockpit: the endpoint it calls, its parameters, the chain of functions it runs through, and the maths behind the calculation. Every section ends with the answer to give out loud.</w:t>
      </w:r>
    </w:p>
    <w:p>
      <w:r>
        <w:rPr>
          <w:i/>
          <w:color w:val="555F70"/>
          <w:sz w:val="18"/>
        </w:rPr>
        <w:t>Engine figures, seed 42, 100,000 simulated years. Every value quoted here comes from deck/figures.json, written by the pipeline.</w:t>
      </w:r>
    </w:p>
    <w:p>
      <w:pPr>
        <w:pStyle w:val="Heading2"/>
        <w:keepNext/>
        <w:pageBreakBefore w:val="0"/>
        <w:spacing w:before="240" w:after="80"/>
      </w:pPr>
      <w:r>
        <w:rPr>
          <w:rFonts w:ascii="Calibri" w:hAnsi="Calibri"/>
          <w:b/>
          <w:color w:val="0B63A6"/>
          <w:sz w:val="30"/>
        </w:rPr>
        <w:t>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/>
            <w:r>
              <w:rPr>
                <w:b/>
                <w:sz w:val="18"/>
              </w:rPr>
              <w:t>Page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Overview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four below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cached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Telemetry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GET /api/telemetry/summary/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color w:val="1B4060"/>
                <w:sz w:val="18"/>
              </w:rPr>
              <w:t>GET /api/frequency/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cached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Frequency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GET /api/frequency/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color w:val="1B4060"/>
                <w:sz w:val="18"/>
              </w:rPr>
              <w:t>GET /api/assets/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threshold, window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~1 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Severity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GET /api/severity/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cached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Simulation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POST /api/simulate/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7 (see §4)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a few s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60"/>
      </w:pPr>
      <w:r>
        <w:rPr>
          <w:b/>
          <w:sz w:val="20"/>
        </w:rPr>
        <w:t>One architectural rule</w:t>
      </w:r>
      <w:r>
        <w:rPr>
          <w:sz w:val="20"/>
        </w:rPr>
        <w:t>: the view parses the request, calls the engine, serializes. No risk maths in Django, none in the frontend.</w:t>
      </w:r>
    </w:p>
    <w:p>
      <w:pPr>
        <w:pStyle w:val="ListBullet"/>
        <w:spacing w:after="40"/>
        <w:ind w:left="360"/>
      </w:pPr>
      <w:r>
        <w:rPr>
          <w:b/>
          <w:sz w:val="20"/>
        </w:rPr>
        <w:t>Two levels of cache</w:t>
      </w:r>
      <w:r>
        <w:rPr>
          <w:sz w:val="20"/>
        </w:rPr>
        <w:t xml:space="preserve">: </w:t>
      </w:r>
      <w:r>
        <w:rPr>
          <w:rFonts w:ascii="Consolas" w:hAnsi="Consolas"/>
          <w:color w:val="1B4060"/>
          <w:sz w:val="18"/>
        </w:rPr>
        <w:t>get_dataset()</w:t>
      </w:r>
      <w:r>
        <w:rPr>
          <w:sz w:val="20"/>
        </w:rPr>
        <w:t xml:space="preserve"> loads and fits once for all — the CSVs do not change — while </w:t>
      </w:r>
      <w:r>
        <w:rPr>
          <w:rFonts w:ascii="Consolas" w:hAnsi="Consolas"/>
          <w:color w:val="1B4060"/>
          <w:sz w:val="18"/>
        </w:rPr>
        <w:t>get_frequency()</w:t>
      </w:r>
      <w:r>
        <w:rPr>
          <w:sz w:val="20"/>
        </w:rPr>
        <w:t xml:space="preserve"> and </w:t>
      </w:r>
      <w:r>
        <w:rPr>
          <w:rFonts w:ascii="Consolas" w:hAnsi="Consolas"/>
          <w:color w:val="1B4060"/>
          <w:sz w:val="18"/>
        </w:rPr>
        <w:t>get_simulation()</w:t>
      </w:r>
      <w:r>
        <w:rPr>
          <w:sz w:val="20"/>
        </w:rPr>
        <w:t xml:space="preserve"> are memoized per parameter set.</w:t>
      </w:r>
    </w:p>
    <w:p>
      <w:pPr>
        <w:pStyle w:val="ListBullet"/>
        <w:spacing w:after="40"/>
        <w:ind w:left="360"/>
      </w:pPr>
      <w:r>
        <w:rPr>
          <w:b/>
          <w:sz w:val="20"/>
        </w:rPr>
        <w:t>Every result object exposes</w:t>
      </w:r>
      <w:r>
        <w:rPr>
          <w:sz w:val="20"/>
        </w:rPr>
        <w:t xml:space="preserve"> </w:t>
      </w:r>
      <w:r>
        <w:rPr>
          <w:rFonts w:ascii="Consolas" w:hAnsi="Consolas"/>
          <w:color w:val="1B4060"/>
          <w:sz w:val="18"/>
        </w:rPr>
        <w:t>to_explanation()</w:t>
      </w:r>
      <w:r>
        <w:rPr>
          <w:sz w:val="20"/>
        </w:rPr>
        <w:t xml:space="preserve"> — the numbered trace the CLI prints, the API serves and the UI displays. One version of each figure.</w:t>
      </w:r>
    </w:p>
    <w:p>
      <w:pPr>
        <w:pStyle w:val="Heading2"/>
        <w:keepNext/>
        <w:pageBreakBefore/>
        <w:spacing w:before="240" w:after="80"/>
      </w:pPr>
      <w:r>
        <w:rPr>
          <w:rFonts w:ascii="Calibri" w:hAnsi="Calibri"/>
          <w:b/>
          <w:color w:val="0B63A6"/>
          <w:sz w:val="30"/>
        </w:rPr>
        <w:t>1. Telemetry — what the sensors saw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Endpoint and parameters</w:t>
      </w:r>
    </w:p>
    <w:p>
      <w:pPr>
        <w:spacing w:before="60" w:after="120"/>
        <w:ind w:left="280"/>
      </w:pPr>
      <w:r>
        <w:rPr>
          <w:rFonts w:ascii="Consolas" w:hAnsi="Consolas"/>
          <w:color w:val="1B4060"/>
          <w:sz w:val="18"/>
        </w:rPr>
        <w:t>GET /api/telemetry/summary/      (no parameters)</w:t>
      </w:r>
      <w:r>
        <w:rPr>
          <w:rFonts w:ascii="Consolas" w:hAnsi="Consolas"/>
          <w:color w:val="1B4060"/>
          <w:sz w:val="18"/>
        </w:rPr>
        <w:br/>
        <w:t>GET /api/frequency/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The second call serves only the </w:t>
      </w:r>
      <w:r>
        <w:rPr>
          <w:b/>
          <w:sz w:val="20"/>
        </w:rPr>
        <w:t>last stage of the funnel</w:t>
      </w:r>
      <w:r>
        <w:rPr>
          <w:sz w:val="20"/>
        </w:rPr>
        <w:t>: the incident rate the simulation consumes.</w:t>
      </w:r>
    </w:p>
    <w:p>
      <w:pPr>
        <w:pStyle w:val="ListBullet"/>
        <w:spacing w:after="40"/>
        <w:ind w:left="360"/>
      </w:pPr>
      <w:r>
        <w:rPr>
          <w:sz w:val="20"/>
        </w:rPr>
        <w:t>No parameters: normalization depends on no convention.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Call chain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1.  </w:t>
      </w:r>
      <w:r>
        <w:rPr>
          <w:rFonts w:ascii="Consolas" w:hAnsi="Consolas"/>
          <w:color w:val="1B4060"/>
          <w:sz w:val="18"/>
        </w:rPr>
        <w:t>load_assets()</w:t>
      </w:r>
      <w:r>
        <w:rPr>
          <w:sz w:val="20"/>
        </w:rPr>
        <w:t xml:space="preserve"> — reads the reference for the 20 assets.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2.  </w:t>
      </w:r>
      <w:r>
        <w:rPr>
          <w:rFonts w:ascii="Consolas" w:hAnsi="Consolas"/>
          <w:color w:val="1B4060"/>
          <w:sz w:val="18"/>
        </w:rPr>
        <w:t>load_siem()</w:t>
      </w:r>
      <w:r>
        <w:rPr>
          <w:sz w:val="20"/>
        </w:rPr>
        <w:t xml:space="preserve"> / </w:t>
      </w:r>
      <w:r>
        <w:rPr>
          <w:rFonts w:ascii="Consolas" w:hAnsi="Consolas"/>
          <w:color w:val="1B4060"/>
          <w:sz w:val="18"/>
        </w:rPr>
        <w:t>load_edr()</w:t>
      </w:r>
      <w:r>
        <w:rPr>
          <w:sz w:val="20"/>
        </w:rPr>
        <w:t xml:space="preserve"> — read each export and translate it into canonical </w:t>
      </w:r>
      <w:r>
        <w:rPr>
          <w:rFonts w:ascii="Consolas" w:hAnsi="Consolas"/>
          <w:color w:val="1B4060"/>
          <w:sz w:val="18"/>
        </w:rPr>
        <w:t>SecurityEvent</w:t>
      </w:r>
      <w:r>
        <w:rPr>
          <w:sz w:val="20"/>
        </w:rPr>
        <w:t>s. This is where the two severity scales are brought into one shared vocabulary.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3.  </w:t>
      </w:r>
      <w:r>
        <w:rPr>
          <w:rFonts w:ascii="Consolas" w:hAnsi="Consolas"/>
          <w:color w:val="1B4060"/>
          <w:sz w:val="18"/>
        </w:rPr>
        <w:t>severity_from_siem_label()</w:t>
      </w:r>
      <w:r>
        <w:rPr>
          <w:sz w:val="20"/>
        </w:rPr>
        <w:t xml:space="preserve"> — </w:t>
      </w:r>
      <w:r>
        <w:rPr>
          <w:rFonts w:ascii="Consolas" w:hAnsi="Consolas"/>
          <w:color w:val="1B4060"/>
          <w:sz w:val="18"/>
        </w:rPr>
        <w:t>Low/Medium/High/Critical</w:t>
      </w:r>
      <w:r>
        <w:rPr>
          <w:sz w:val="20"/>
        </w:rPr>
        <w:t xml:space="preserve"> → class.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4.  </w:t>
      </w:r>
      <w:r>
        <w:rPr>
          <w:rFonts w:ascii="Consolas" w:hAnsi="Consolas"/>
          <w:color w:val="1B4060"/>
          <w:sz w:val="18"/>
        </w:rPr>
        <w:t>severity_from_edr_risk()</w:t>
      </w:r>
      <w:r>
        <w:rPr>
          <w:sz w:val="20"/>
        </w:rPr>
        <w:t xml:space="preserve"> — score 0–999 → class, by cut points.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5.  </w:t>
      </w:r>
      <w:r>
        <w:rPr>
          <w:rFonts w:ascii="Consolas" w:hAnsi="Consolas"/>
          <w:color w:val="1B4060"/>
          <w:sz w:val="18"/>
        </w:rPr>
        <w:t>merge_feeds()</w:t>
      </w:r>
      <w:r>
        <w:rPr>
          <w:sz w:val="20"/>
        </w:rPr>
        <w:t xml:space="preserve"> — </w:t>
      </w:r>
      <w:r>
        <w:rPr>
          <w:b/>
          <w:sz w:val="20"/>
        </w:rPr>
        <w:t>deduplicates</w:t>
      </w:r>
      <w:r>
        <w:rPr>
          <w:sz w:val="20"/>
        </w:rPr>
        <w:t xml:space="preserve"> over the union of both feeds and produces the </w:t>
      </w:r>
      <w:r>
        <w:rPr>
          <w:rFonts w:ascii="Consolas" w:hAnsi="Consolas"/>
          <w:color w:val="1B4060"/>
          <w:sz w:val="18"/>
        </w:rPr>
        <w:t>NormalizationReport</w:t>
      </w:r>
      <w:r>
        <w:rPr>
          <w:sz w:val="20"/>
        </w:rPr>
        <w:t>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6.  </w:t>
      </w:r>
      <w:r>
        <w:rPr>
          <w:rFonts w:ascii="Consolas" w:hAnsi="Consolas"/>
          <w:color w:val="1B4060"/>
          <w:sz w:val="18"/>
        </w:rPr>
        <w:t>observed_window()</w:t>
      </w:r>
      <w:r>
        <w:rPr>
          <w:sz w:val="20"/>
        </w:rPr>
        <w:t xml:space="preserve"> — derives the observation window from the events themselves.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7.  </w:t>
      </w:r>
      <w:r>
        <w:rPr>
          <w:rFonts w:ascii="Consolas" w:hAnsi="Consolas"/>
          <w:color w:val="1B4060"/>
          <w:sz w:val="18"/>
        </w:rPr>
        <w:t>summarize_telemetry()</w:t>
      </w:r>
      <w:r>
        <w:rPr>
          <w:sz w:val="20"/>
        </w:rPr>
        <w:t xml:space="preserve"> — aggregates into weekly buckets, severity mix, top techniques.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The maths</w:t>
      </w:r>
    </w:p>
    <w:p>
      <w:pPr>
        <w:pStyle w:val="ListBullet"/>
        <w:spacing w:after="40"/>
        <w:ind w:left="360"/>
      </w:pPr>
      <w:r>
        <w:rPr>
          <w:b/>
          <w:sz w:val="20"/>
        </w:rPr>
        <w:t>Severity normalization.</w:t>
      </w:r>
      <w:r>
        <w:rPr>
          <w:sz w:val="20"/>
        </w:rPr>
        <w:t xml:space="preserve"> The SIEM gives a label, the EDR a score. EDR cut points: </w:t>
      </w:r>
      <w:r>
        <w:rPr>
          <w:rFonts w:ascii="Consolas" w:hAnsi="Consolas"/>
          <w:color w:val="1B4060"/>
          <w:sz w:val="18"/>
        </w:rPr>
        <w:t>&lt; 50</w:t>
      </w:r>
      <w:r>
        <w:rPr>
          <w:sz w:val="20"/>
        </w:rPr>
        <w:t xml:space="preserve"> low, </w:t>
      </w:r>
      <w:r>
        <w:rPr>
          <w:rFonts w:ascii="Consolas" w:hAnsi="Consolas"/>
          <w:color w:val="1B4060"/>
          <w:sz w:val="18"/>
        </w:rPr>
        <w:t>50–69</w:t>
      </w:r>
      <w:r>
        <w:rPr>
          <w:sz w:val="20"/>
        </w:rPr>
        <w:t xml:space="preserve"> medium, </w:t>
      </w:r>
      <w:r>
        <w:rPr>
          <w:rFonts w:ascii="Consolas" w:hAnsi="Consolas"/>
          <w:color w:val="1B4060"/>
          <w:sz w:val="18"/>
        </w:rPr>
        <w:t>70–93</w:t>
      </w:r>
      <w:r>
        <w:rPr>
          <w:sz w:val="20"/>
        </w:rPr>
        <w:t xml:space="preserve"> high, </w:t>
      </w:r>
      <w:r>
        <w:rPr>
          <w:rFonts w:ascii="Consolas" w:hAnsi="Consolas"/>
          <w:color w:val="1B4060"/>
          <w:sz w:val="18"/>
        </w:rPr>
        <w:t>≥ 94</w:t>
      </w:r>
      <w:r>
        <w:rPr>
          <w:sz w:val="20"/>
        </w:rPr>
        <w:t xml:space="preserve"> critical. Numeric score attached to each class: 0.25 / 0.5 / 0.75 / 1.0.</w:t>
      </w:r>
    </w:p>
    <w:p>
      <w:pPr>
        <w:pStyle w:val="ListBullet"/>
        <w:spacing w:after="40"/>
        <w:ind w:left="360"/>
      </w:pPr>
      <w:r>
        <w:rPr>
          <w:b/>
          <w:sz w:val="20"/>
        </w:rPr>
        <w:t>Deduplication key</w:t>
      </w:r>
      <w:r>
        <w:rPr>
          <w:sz w:val="20"/>
        </w:rPr>
        <w:t xml:space="preserve">: the triple </w:t>
      </w:r>
      <w:r>
        <w:rPr>
          <w:rFonts w:ascii="Consolas" w:hAnsi="Consolas"/>
          <w:color w:val="1B4060"/>
          <w:sz w:val="18"/>
        </w:rPr>
        <w:t>(asset_id, technique, observed_at)</w:t>
      </w:r>
      <w:r>
        <w:rPr>
          <w:sz w:val="20"/>
        </w:rPr>
        <w:t>. Two reports carrying the same triple describe the same real event.</w:t>
      </w:r>
    </w:p>
    <w:p>
      <w:pPr>
        <w:pStyle w:val="ListBullet"/>
        <w:spacing w:after="40"/>
        <w:ind w:left="360"/>
      </w:pPr>
      <w:r>
        <w:rPr>
          <w:b/>
          <w:sz w:val="20"/>
        </w:rPr>
        <w:t>Deduplicated over the union, not by a join.</w:t>
      </w:r>
      <w:r>
        <w:rPr>
          <w:sz w:val="20"/>
        </w:rPr>
        <w:t xml:space="preserve"> Each feed already repeats keys internally — 761 times in the SIEM, 543 in the EDR — so an inner join would multiply those duplicates and return 13,055 rows instead of the 12,343 true matches.</w:t>
      </w:r>
    </w:p>
    <w:p>
      <w:pPr>
        <w:pStyle w:val="ListBullet"/>
        <w:spacing w:after="40"/>
        <w:ind w:left="360"/>
      </w:pPr>
      <w:r>
        <w:rPr>
          <w:b/>
          <w:sz w:val="20"/>
        </w:rPr>
        <w:t>Merge rule: the worst severity wins.</w:t>
      </w:r>
      <w:r>
        <w:rPr>
          <w:sz w:val="20"/>
        </w:rPr>
        <w:t xml:space="preserve"> If the EDR sees critical and the SIEM medium, critical is kept: the tool closest to the endpoint saw something. Averaging would dilute a strong signal into a weak one.</w:t>
      </w:r>
    </w:p>
    <w:p>
      <w:pPr>
        <w:pStyle w:val="ListBullet"/>
        <w:spacing w:after="40"/>
        <w:ind w:left="360"/>
      </w:pPr>
      <w:r>
        <w:rPr>
          <w:b/>
          <w:sz w:val="20"/>
        </w:rPr>
        <w:t>Annualization factor</w:t>
      </w:r>
      <w:r>
        <w:rPr>
          <w:sz w:val="20"/>
        </w:rPr>
        <w:t xml:space="preserve"> = 365 / observed days = 365 / 212 = </w:t>
      </w:r>
      <w:r>
        <w:rPr>
          <w:b/>
          <w:sz w:val="20"/>
        </w:rPr>
        <w:t>1.7217</w:t>
      </w:r>
      <w:r>
        <w:rPr>
          <w:sz w:val="20"/>
        </w:rPr>
        <w:t xml:space="preserve"> (1 Nov 2025 → 31 May 2026). Recomputed from the data, never hardcoded.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Figures produced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8"/>
              </w:rPr>
              <w:t>Where it comes from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Raw rows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45,840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sum of both exports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Distinct events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32,193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deduplication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Duplicates absorbed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13,647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12,343 of them across feeds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Inflation avoided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42.4%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what a naive concatenation would have added</w:t>
            </w:r>
          </w:p>
        </w:tc>
      </w:tr>
    </w:tbl>
    <w:p>
      <w:pPr>
        <w:spacing w:after="40"/>
      </w:pPr>
    </w:p>
    <w:p>
      <w:pPr>
        <w:spacing w:before="80" w:after="200"/>
        <w:ind w:left="240"/>
      </w:pPr>
      <w:r>
        <w:rPr>
          <w:b/>
          <w:color w:val="0B63A6"/>
          <w:sz w:val="17"/>
        </w:rPr>
        <w:t xml:space="preserve">SAY THIS  </w:t>
      </w:r>
      <w:r>
        <w:rPr>
          <w:i/>
          <w:sz w:val="20"/>
        </w:rPr>
        <w:t>The two tools are not complementary, they are partly redundant: 12,343 events carry the same asset, the same technique and the same timestamp on both sides. I deduplicate on that triple keeping the worst severity, which avoids 42.4% of inflation on every downstream rate.</w:t>
      </w:r>
    </w:p>
    <w:p>
      <w:pPr>
        <w:pStyle w:val="Heading2"/>
        <w:keepNext/>
        <w:pageBreakBefore/>
        <w:spacing w:before="240" w:after="80"/>
      </w:pPr>
      <w:r>
        <w:rPr>
          <w:rFonts w:ascii="Calibri" w:hAnsi="Calibri"/>
          <w:b/>
          <w:color w:val="0B63A6"/>
          <w:sz w:val="30"/>
        </w:rPr>
        <w:t>2. Frequency — how often we are attacked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Endpoint and parameters</w:t>
      </w:r>
    </w:p>
    <w:p>
      <w:pPr>
        <w:spacing w:before="60" w:after="120"/>
        <w:ind w:left="280"/>
      </w:pPr>
      <w:r>
        <w:rPr>
          <w:rFonts w:ascii="Consolas" w:hAnsi="Consolas"/>
          <w:color w:val="1B4060"/>
          <w:sz w:val="18"/>
        </w:rPr>
        <w:t>GET /api/frequency/?severity_threshold=high&amp;session_window_hours=24</w:t>
      </w:r>
      <w:r>
        <w:rPr>
          <w:rFonts w:ascii="Consolas" w:hAnsi="Consolas"/>
          <w:color w:val="1B4060"/>
          <w:sz w:val="18"/>
        </w:rPr>
        <w:br/>
        <w:t>GET /api/assets/?severity_threshold=high&amp;session_window_hours=24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severity_threshold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minimum severity to count as an attack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session_window_hours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silence that opens a new episode</w:t>
            </w:r>
          </w:p>
        </w:tc>
      </w:tr>
    </w:tbl>
    <w:p>
      <w:pPr>
        <w:spacing w:after="40"/>
      </w:pPr>
    </w:p>
    <w:p>
      <w:r>
        <w:rPr>
          <w:i/>
          <w:color w:val="555F70"/>
          <w:sz w:val="19"/>
        </w:rPr>
        <w:t>These two parameters are conventions, not measurements. They are exposed as dials in the UI rather than hidden in the code.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Call chain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1.  </w:t>
      </w:r>
      <w:r>
        <w:rPr>
          <w:rFonts w:ascii="Consolas" w:hAnsi="Consolas"/>
          <w:color w:val="1B4060"/>
          <w:sz w:val="18"/>
        </w:rPr>
        <w:t>get_frequency(threshold, window)</w:t>
      </w:r>
      <w:r>
        <w:rPr>
          <w:sz w:val="20"/>
        </w:rPr>
        <w:t xml:space="preserve"> — memoized per parameter pair.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2.  </w:t>
      </w:r>
      <w:r>
        <w:rPr>
          <w:rFonts w:ascii="Consolas" w:hAnsi="Consolas"/>
          <w:color w:val="1B4060"/>
          <w:sz w:val="18"/>
        </w:rPr>
        <w:t>estimate_frequency()</w:t>
      </w:r>
      <w:r>
        <w:rPr>
          <w:sz w:val="20"/>
        </w:rPr>
        <w:t xml:space="preserve"> — orchestrates the four steps below.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3.  </w:t>
      </w:r>
      <w:r>
        <w:rPr>
          <w:rFonts w:ascii="Consolas" w:hAnsi="Consolas"/>
          <w:color w:val="1B4060"/>
          <w:sz w:val="18"/>
        </w:rPr>
        <w:t>is_attack_grade(event, threshold)</w:t>
      </w:r>
      <w:r>
        <w:rPr>
          <w:sz w:val="20"/>
        </w:rPr>
        <w:t xml:space="preserve"> — filter: keeps only high and above.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4.  </w:t>
      </w:r>
      <w:r>
        <w:rPr>
          <w:rFonts w:ascii="Consolas" w:hAnsi="Consolas"/>
          <w:color w:val="1B4060"/>
          <w:sz w:val="18"/>
        </w:rPr>
        <w:t>sessionize(events, params)</w:t>
      </w:r>
      <w:r>
        <w:rPr>
          <w:sz w:val="20"/>
        </w:rPr>
        <w:t xml:space="preserve"> — groups events into </w:t>
      </w:r>
      <w:r>
        <w:rPr>
          <w:b/>
          <w:sz w:val="20"/>
        </w:rPr>
        <w:t>episodes</w:t>
      </w:r>
      <w:r>
        <w:rPr>
          <w:sz w:val="20"/>
        </w:rPr>
        <w:t>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5.  </w:t>
      </w:r>
      <w:r>
        <w:rPr>
          <w:rFonts w:ascii="Consolas" w:hAnsi="Consolas"/>
          <w:color w:val="1B4060"/>
          <w:sz w:val="18"/>
        </w:rPr>
        <w:t>attack_type_for(technique)</w:t>
      </w:r>
      <w:r>
        <w:rPr>
          <w:sz w:val="20"/>
        </w:rPr>
        <w:t xml:space="preserve"> — classifies each MITRE technique into an attack type through an explicit dictionary; the episode inherits the type of its worst event.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6.  </w:t>
      </w:r>
      <w:r>
        <w:rPr>
          <w:rFonts w:ascii="Consolas" w:hAnsi="Consolas"/>
          <w:color w:val="1B4060"/>
          <w:sz w:val="18"/>
        </w:rPr>
        <w:t>peer_weighted_base_rate(incidents, params)</w:t>
      </w:r>
      <w:r>
        <w:rPr>
          <w:sz w:val="20"/>
        </w:rPr>
        <w:t xml:space="preserve"> — incidents per organisation-year among peers.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7.  </w:t>
      </w:r>
      <w:r>
        <w:rPr>
          <w:rFonts w:ascii="Consolas" w:hAnsi="Consolas"/>
          <w:color w:val="1B4060"/>
          <w:sz w:val="18"/>
        </w:rPr>
        <w:t>calibrate(lambda_detected, base_rate)</w:t>
      </w:r>
      <w:r>
        <w:rPr>
          <w:sz w:val="20"/>
        </w:rPr>
        <w:t xml:space="preserve"> — fits </w:t>
      </w:r>
      <w:r>
        <w:rPr>
          <w:rFonts w:ascii="Consolas" w:hAnsi="Consolas"/>
          <w:color w:val="1B4060"/>
          <w:sz w:val="18"/>
        </w:rPr>
        <w:t>p_materialize</w:t>
      </w:r>
      <w:r>
        <w:rPr>
          <w:sz w:val="20"/>
        </w:rPr>
        <w:t xml:space="preserve"> to reconcile the two units.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The maths</w:t>
      </w:r>
    </w:p>
    <w:p>
      <w:pPr>
        <w:pStyle w:val="ListBullet"/>
        <w:spacing w:after="40"/>
        <w:ind w:left="360"/>
      </w:pPr>
      <w:r>
        <w:rPr>
          <w:b/>
          <w:sz w:val="20"/>
        </w:rPr>
        <w:t>Episode rule.</w:t>
      </w:r>
      <w:r>
        <w:rPr>
          <w:sz w:val="20"/>
        </w:rPr>
        <w:t xml:space="preserve"> Grouped by </w:t>
      </w:r>
      <w:r>
        <w:rPr>
          <w:b/>
          <w:sz w:val="20"/>
        </w:rPr>
        <w:t>asset alone</w:t>
      </w:r>
      <w:r>
        <w:rPr>
          <w:sz w:val="20"/>
        </w:rPr>
        <w:t xml:space="preserve"> — an intruder trips whatever detections it meets, and counting each type separately would recount the same intrusion under several names. The run is cut as soon as a silence exceeds the window, measured against the </w:t>
      </w:r>
      <w:r>
        <w:rPr>
          <w:b/>
          <w:sz w:val="20"/>
        </w:rPr>
        <w:t>previous</w:t>
      </w:r>
      <w:r>
        <w:rPr>
          <w:sz w:val="20"/>
        </w:rPr>
        <w:t xml:space="preserve"> event and not the first, otherwise a three-day intrusion would be split artificially.</w:t>
      </w:r>
    </w:p>
    <w:p>
      <w:pPr>
        <w:pStyle w:val="ListBullet"/>
        <w:spacing w:after="40"/>
        <w:ind w:left="360"/>
      </w:pPr>
      <w:r>
        <w:rPr>
          <w:b/>
          <w:sz w:val="20"/>
        </w:rPr>
        <w:t>λ detected</w:t>
      </w:r>
      <w:r>
        <w:rPr>
          <w:sz w:val="20"/>
        </w:rPr>
        <w:t xml:space="preserve"> = episodes × 365 / observed days = 911 × 1.7217 = </w:t>
      </w:r>
      <w:r>
        <w:rPr>
          <w:b/>
          <w:sz w:val="20"/>
        </w:rPr>
        <w:t>1,568 / yr</w:t>
      </w:r>
      <w:r>
        <w:rPr>
          <w:sz w:val="20"/>
        </w:rPr>
        <w:t>.</w:t>
      </w:r>
    </w:p>
    <w:p>
      <w:pPr>
        <w:pStyle w:val="ListBullet"/>
        <w:spacing w:after="40"/>
        <w:ind w:left="360"/>
      </w:pPr>
      <w:r>
        <w:rPr>
          <w:b/>
          <w:sz w:val="20"/>
        </w:rPr>
        <w:t>Peer base rate</w:t>
      </w:r>
      <w:r>
        <w:rPr>
          <w:sz w:val="20"/>
        </w:rPr>
        <w:t xml:space="preserve"> = weighted incidents ÷ weighted organisation-years. Numerator </w:t>
      </w:r>
      <w:r>
        <w:rPr>
          <w:i/>
          <w:sz w:val="20"/>
        </w:rPr>
        <w:t>and</w:t>
      </w:r>
      <w:r>
        <w:rPr>
          <w:sz w:val="20"/>
        </w:rPr>
        <w:t xml:space="preserve"> denominator carry the same similarity kernel, one record per </w:t>
      </w:r>
      <w:r>
        <w:rPr>
          <w:rFonts w:ascii="Consolas" w:hAnsi="Consolas"/>
          <w:color w:val="1B4060"/>
          <w:sz w:val="18"/>
        </w:rPr>
        <w:t>company_id</w:t>
      </w:r>
      <w:r>
        <w:rPr>
          <w:sz w:val="20"/>
        </w:rPr>
        <w:t xml:space="preserve"> — that is </w:t>
      </w:r>
      <w:r>
        <w:rPr>
          <w:b/>
          <w:sz w:val="20"/>
        </w:rPr>
        <w:t>1,310 organisations</w:t>
      </w:r>
      <w:r>
        <w:rPr>
          <w:sz w:val="20"/>
        </w:rPr>
        <w:t>.</w:t>
      </w:r>
    </w:p>
    <w:p>
      <w:pPr>
        <w:pStyle w:val="ListBullet"/>
        <w:spacing w:after="40"/>
        <w:ind w:left="360"/>
      </w:pPr>
      <w:r>
        <w:rPr>
          <w:b/>
          <w:sz w:val="20"/>
        </w:rPr>
        <w:t>The change of unit, the key point.</w:t>
      </w:r>
      <w:r>
        <w:rPr>
          <w:sz w:val="20"/>
        </w:rPr>
        <w:t xml:space="preserve"> The telemetry counts </w:t>
      </w:r>
      <w:r>
        <w:rPr>
          <w:i/>
          <w:sz w:val="20"/>
        </w:rPr>
        <w:t>detected</w:t>
      </w:r>
      <w:r>
        <w:rPr>
          <w:sz w:val="20"/>
        </w:rPr>
        <w:t xml:space="preserve"> attacks, the external base counts </w:t>
      </w:r>
      <w:r>
        <w:rPr>
          <w:i/>
          <w:sz w:val="20"/>
        </w:rPr>
        <w:t>loss-causing</w:t>
      </w:r>
      <w:r>
        <w:rPr>
          <w:sz w:val="20"/>
        </w:rPr>
        <w:t xml:space="preserve"> incidents. Those are two different units.</w:t>
      </w:r>
    </w:p>
    <w:p>
      <w:pPr>
        <w:pStyle w:val="ListBullet"/>
        <w:spacing w:after="40"/>
        <w:ind w:left="360"/>
      </w:pPr>
      <w:r>
        <w:rPr>
          <w:b/>
          <w:sz w:val="20"/>
        </w:rPr>
        <w:t>Calibration</w:t>
      </w:r>
      <w:r>
        <w:rPr>
          <w:sz w:val="20"/>
        </w:rPr>
        <w:t xml:space="preserve">: </w:t>
      </w:r>
      <w:r>
        <w:rPr>
          <w:rFonts w:ascii="Consolas" w:hAnsi="Consolas"/>
          <w:color w:val="1B4060"/>
          <w:sz w:val="18"/>
        </w:rPr>
        <w:t>λ_incident = λ_detected × p</w:t>
      </w:r>
      <w:r>
        <w:rPr>
          <w:sz w:val="20"/>
        </w:rPr>
        <w:t xml:space="preserve">, with p set so that λ_incident equals the peer rate. Here p ≈ 1 detection in </w:t>
      </w:r>
      <w:r>
        <w:rPr>
          <w:b/>
          <w:sz w:val="20"/>
        </w:rPr>
        <w:t>5,138</w:t>
      </w:r>
      <w:r>
        <w:rPr>
          <w:sz w:val="20"/>
        </w:rPr>
        <w:t xml:space="preserve">, so λ_incident = </w:t>
      </w:r>
      <w:r>
        <w:rPr>
          <w:b/>
          <w:sz w:val="20"/>
        </w:rPr>
        <w:t>0.31 / yr</w:t>
      </w:r>
      <w:r>
        <w:rPr>
          <w:sz w:val="20"/>
        </w:rPr>
        <w:t>.</w:t>
      </w:r>
    </w:p>
    <w:p>
      <w:pPr>
        <w:pStyle w:val="ListBullet"/>
        <w:spacing w:after="40"/>
        <w:ind w:left="360"/>
      </w:pPr>
      <w:r>
        <w:rPr>
          <w:b/>
          <w:sz w:val="20"/>
        </w:rPr>
        <w:t>The mix comes from the telemetry, the level from the base.</w:t>
      </w:r>
      <w:r>
        <w:rPr>
          <w:sz w:val="20"/>
        </w:rPr>
        <w:t xml:space="preserve"> Each type gets λ_incident × (its episodes / total episodes).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Figures produced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Attack-grade events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10,126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severity ≥ high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Episodes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911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compression 11.1×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λ detected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1,568 / yr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episodes × 365/212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λ incident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0.31 / yr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λ detected ÷ 5,138</w:t>
            </w:r>
          </w:p>
        </w:tc>
      </w:tr>
    </w:tbl>
    <w:p>
      <w:pPr>
        <w:spacing w:after="40"/>
      </w:pPr>
    </w:p>
    <w:p>
      <w:pPr>
        <w:spacing w:before="80" w:after="200"/>
        <w:ind w:left="240"/>
      </w:pPr>
      <w:r>
        <w:rPr>
          <w:b/>
          <w:color w:val="0B63A6"/>
          <w:sz w:val="17"/>
        </w:rPr>
        <w:t xml:space="preserve">SAY THIS  </w:t>
      </w:r>
      <w:r>
        <w:rPr>
          <w:i/>
          <w:sz w:val="20"/>
        </w:rPr>
        <w:t>An alert is not an attack: an intrusion produces a burst of detections. I group by asset with a 24-hour quiet window, which takes 10,126 attack-grade events down to 911 episodes, or 1,568 detected attacks a year. But the telemetry counts detections and the external base counts loss-causing incidents — two different units. I reconcile them with a calibration: one detection in 5,138 ends in a loss, giving 0.31 incident a year anchored on 1,310 comparable organisations.</w:t>
      </w:r>
    </w:p>
    <w:p>
      <w:pPr>
        <w:pStyle w:val="Heading2"/>
        <w:keepNext/>
        <w:pageBreakBefore/>
        <w:spacing w:before="240" w:after="80"/>
      </w:pPr>
      <w:r>
        <w:rPr>
          <w:rFonts w:ascii="Calibri" w:hAnsi="Calibri"/>
          <w:b/>
          <w:color w:val="0B63A6"/>
          <w:sz w:val="30"/>
        </w:rPr>
        <w:t>3. Severity — what one incident costs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Endpoint and parameters</w:t>
      </w:r>
    </w:p>
    <w:p>
      <w:pPr>
        <w:spacing w:before="60" w:after="120"/>
        <w:ind w:left="280"/>
      </w:pPr>
      <w:r>
        <w:rPr>
          <w:rFonts w:ascii="Consolas" w:hAnsi="Consolas"/>
          <w:color w:val="1B4060"/>
          <w:sz w:val="18"/>
        </w:rPr>
        <w:t>GET /api/severity/      (no parameters)</w:t>
      </w:r>
    </w:p>
    <w:p>
      <w:r>
        <w:rPr>
          <w:i/>
          <w:color w:val="555F70"/>
          <w:sz w:val="19"/>
        </w:rPr>
        <w:t>No parameters: the severity model depends only on the target profile, which is fixed for this case (Retail, ETI, maturity 55).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Call chain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1.  </w:t>
      </w:r>
      <w:r>
        <w:rPr>
          <w:rFonts w:ascii="Consolas" w:hAnsi="Consolas"/>
          <w:color w:val="1B4060"/>
          <w:sz w:val="18"/>
        </w:rPr>
        <w:t>load_incidents()</w:t>
      </w:r>
      <w:r>
        <w:rPr>
          <w:sz w:val="20"/>
        </w:rPr>
        <w:t xml:space="preserve"> — reads and </w:t>
      </w:r>
      <w:r>
        <w:rPr>
          <w:b/>
          <w:sz w:val="20"/>
        </w:rPr>
        <w:t>cleans</w:t>
      </w:r>
      <w:r>
        <w:rPr>
          <w:sz w:val="20"/>
        </w:rPr>
        <w:t xml:space="preserve"> the external base; also returns the </w:t>
      </w:r>
      <w:r>
        <w:rPr>
          <w:rFonts w:ascii="Consolas" w:hAnsi="Consolas"/>
          <w:color w:val="1B4060"/>
          <w:sz w:val="18"/>
        </w:rPr>
        <w:t>CleaningReport</w:t>
      </w:r>
      <w:r>
        <w:rPr>
          <w:sz w:val="20"/>
        </w:rPr>
        <w:t>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2.  </w:t>
      </w:r>
      <w:r>
        <w:rPr>
          <w:rFonts w:ascii="Consolas" w:hAnsi="Consolas"/>
          <w:color w:val="1B4060"/>
          <w:sz w:val="18"/>
        </w:rPr>
        <w:t>repair_mojibake()</w:t>
      </w:r>
      <w:r>
        <w:rPr>
          <w:sz w:val="20"/>
        </w:rPr>
        <w:t xml:space="preserve"> — repairs the double UTF-8 encoding of the sector labels, which was splitting one sector into two.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3.  </w:t>
      </w:r>
      <w:r>
        <w:rPr>
          <w:rFonts w:ascii="Consolas" w:hAnsi="Consolas"/>
          <w:color w:val="1B4060"/>
          <w:sz w:val="18"/>
        </w:rPr>
        <w:t>fit_severity_model()</w:t>
      </w:r>
      <w:r>
        <w:rPr>
          <w:sz w:val="20"/>
        </w:rPr>
        <w:t xml:space="preserve"> — orchestrates the steps below, once for the pool then once per attack type.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4.  </w:t>
      </w:r>
      <w:r>
        <w:rPr>
          <w:rFonts w:ascii="Consolas" w:hAnsi="Consolas"/>
          <w:color w:val="1B4060"/>
          <w:sz w:val="18"/>
        </w:rPr>
        <w:t>peer_weights(incidents, params)</w:t>
      </w:r>
      <w:r>
        <w:rPr>
          <w:sz w:val="20"/>
        </w:rPr>
        <w:t xml:space="preserve"> — one weight per incident, via </w:t>
      </w:r>
      <w:r>
        <w:rPr>
          <w:rFonts w:ascii="Consolas" w:hAnsi="Consolas"/>
          <w:color w:val="1B4060"/>
          <w:sz w:val="18"/>
        </w:rPr>
        <w:t>sector_weight()</w:t>
      </w:r>
      <w:r>
        <w:rPr>
          <w:sz w:val="20"/>
        </w:rPr>
        <w:t xml:space="preserve">, </w:t>
      </w:r>
      <w:r>
        <w:rPr>
          <w:rFonts w:ascii="Consolas" w:hAnsi="Consolas"/>
          <w:color w:val="1B4060"/>
          <w:sz w:val="18"/>
        </w:rPr>
        <w:t>size_weight()</w:t>
      </w:r>
      <w:r>
        <w:rPr>
          <w:sz w:val="20"/>
        </w:rPr>
        <w:t xml:space="preserve"> and </w:t>
      </w:r>
      <w:r>
        <w:rPr>
          <w:rFonts w:ascii="Consolas" w:hAnsi="Consolas"/>
          <w:color w:val="1B4060"/>
          <w:sz w:val="18"/>
        </w:rPr>
        <w:t>maturity_weight()</w:t>
      </w:r>
      <w:r>
        <w:rPr>
          <w:sz w:val="20"/>
        </w:rPr>
        <w:t>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5.  </w:t>
      </w:r>
      <w:r>
        <w:rPr>
          <w:rFonts w:ascii="Consolas" w:hAnsi="Consolas"/>
          <w:color w:val="1B4060"/>
          <w:sz w:val="18"/>
        </w:rPr>
        <w:t>effective_sample_size(weights)</w:t>
      </w:r>
      <w:r>
        <w:rPr>
          <w:sz w:val="20"/>
        </w:rPr>
        <w:t xml:space="preserve"> — Kish n_eff, what the weighting costs.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6.  </w:t>
      </w:r>
      <w:r>
        <w:rPr>
          <w:rFonts w:ascii="Consolas" w:hAnsi="Consolas"/>
          <w:color w:val="1B4060"/>
          <w:sz w:val="18"/>
        </w:rPr>
        <w:t>fit_lognormal(losses, weights)</w:t>
      </w:r>
      <w:r>
        <w:rPr>
          <w:sz w:val="20"/>
        </w:rPr>
        <w:t xml:space="preserve"> — weighted maximum likelihood on the log scale.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7.  </w:t>
      </w:r>
      <w:r>
        <w:rPr>
          <w:rFonts w:ascii="Consolas" w:hAnsi="Consolas"/>
          <w:color w:val="1B4060"/>
          <w:sz w:val="18"/>
        </w:rPr>
        <w:t>diagnose()</w:t>
      </w:r>
      <w:r>
        <w:rPr>
          <w:sz w:val="20"/>
        </w:rPr>
        <w:t xml:space="preserve"> — assembles the evidence </w:t>
      </w:r>
      <w:r>
        <w:rPr>
          <w:i/>
          <w:sz w:val="20"/>
        </w:rPr>
        <w:t>against</w:t>
      </w:r>
      <w:r>
        <w:rPr>
          <w:sz w:val="20"/>
        </w:rPr>
        <w:t xml:space="preserve"> the fit: </w:t>
      </w:r>
      <w:r>
        <w:rPr>
          <w:rFonts w:ascii="Consolas" w:hAnsi="Consolas"/>
          <w:color w:val="1B4060"/>
          <w:sz w:val="18"/>
        </w:rPr>
        <w:t>weighted_ks()</w:t>
      </w:r>
      <w:r>
        <w:rPr>
          <w:sz w:val="20"/>
        </w:rPr>
        <w:t xml:space="preserve">, </w:t>
      </w:r>
      <w:r>
        <w:rPr>
          <w:rFonts w:ascii="Consolas" w:hAnsi="Consolas"/>
          <w:color w:val="1B4060"/>
          <w:sz w:val="18"/>
        </w:rPr>
        <w:t>qq_points()</w:t>
      </w:r>
      <w:r>
        <w:rPr>
          <w:sz w:val="20"/>
        </w:rPr>
        <w:t xml:space="preserve">, </w:t>
      </w:r>
      <w:r>
        <w:rPr>
          <w:rFonts w:ascii="Consolas" w:hAnsi="Consolas"/>
          <w:color w:val="1B4060"/>
          <w:sz w:val="18"/>
        </w:rPr>
        <w:t>fit_pareto_tail()</w:t>
      </w:r>
      <w:r>
        <w:rPr>
          <w:sz w:val="20"/>
        </w:rPr>
        <w:t xml:space="preserve">, </w:t>
      </w:r>
      <w:r>
        <w:rPr>
          <w:rFonts w:ascii="Consolas" w:hAnsi="Consolas"/>
          <w:color w:val="1B4060"/>
          <w:sz w:val="18"/>
        </w:rPr>
        <w:t>distribution_plot()</w:t>
      </w:r>
      <w:r>
        <w:rPr>
          <w:sz w:val="20"/>
        </w:rPr>
        <w:t>.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The maths</w:t>
      </w:r>
    </w:p>
    <w:p>
      <w:pPr>
        <w:pStyle w:val="ListBullet"/>
        <w:spacing w:after="40"/>
        <w:ind w:left="360"/>
      </w:pPr>
      <w:r>
        <w:rPr>
          <w:b/>
          <w:sz w:val="20"/>
        </w:rPr>
        <w:t>Cleaning.</w:t>
      </w:r>
      <w:r>
        <w:rPr>
          <w:sz w:val="20"/>
        </w:rPr>
        <w:t xml:space="preserve"> Losses of </w:t>
      </w:r>
      <w:r>
        <w:rPr>
          <w:rFonts w:ascii="Consolas" w:hAnsi="Consolas"/>
          <w:color w:val="1B4060"/>
          <w:sz w:val="18"/>
        </w:rPr>
        <w:t>-1</w:t>
      </w:r>
      <w:r>
        <w:rPr>
          <w:sz w:val="20"/>
        </w:rPr>
        <w:t xml:space="preserve"> are </w:t>
      </w:r>
      <w:r>
        <w:rPr>
          <w:b/>
          <w:sz w:val="20"/>
        </w:rPr>
        <w:t>missing values</w:t>
      </w:r>
      <w:r>
        <w:rPr>
          <w:sz w:val="20"/>
        </w:rPr>
        <w:t xml:space="preserve">, never €0. Two rows affected, excluded from the fit: </w:t>
      </w:r>
      <w:r>
        <w:rPr>
          <w:b/>
          <w:sz w:val="20"/>
        </w:rPr>
        <w:t>1,598 usable incidents of 1,600</w:t>
      </w:r>
      <w:r>
        <w:rPr>
          <w:sz w:val="20"/>
        </w:rPr>
        <w:t xml:space="preserve"> remain.</w:t>
      </w:r>
    </w:p>
    <w:p>
      <w:pPr>
        <w:pStyle w:val="ListBullet"/>
        <w:spacing w:after="40"/>
        <w:ind w:left="360"/>
      </w:pPr>
      <w:r>
        <w:rPr>
          <w:b/>
          <w:sz w:val="20"/>
        </w:rPr>
        <w:t>Soft weighting, never a hard filter.</w:t>
      </w:r>
      <w:r>
        <w:rPr>
          <w:sz w:val="20"/>
        </w:rPr>
        <w:t xml:space="preserve"> A continuous weight per incident, the product of three similarity factors: sector (1.0 if Retail, else 0.4), size (1.0 if ETI, else 0.6) and a Gaussian kernel on the maturity distance, of bandwidth h = 15.</w:t>
      </w:r>
    </w:p>
    <w:p>
      <w:pPr>
        <w:pStyle w:val="ListBullet"/>
        <w:spacing w:after="40"/>
        <w:ind w:left="360"/>
      </w:pPr>
      <w:r>
        <w:rPr>
          <w:b/>
          <w:sz w:val="20"/>
        </w:rPr>
        <w:t>Why weight.</w:t>
      </w:r>
      <w:r>
        <w:rPr>
          <w:sz w:val="20"/>
        </w:rPr>
        <w:t xml:space="preserve"> An exact filter on the profile leaves only </w:t>
      </w:r>
      <w:r>
        <w:rPr>
          <w:b/>
          <w:sz w:val="20"/>
        </w:rPr>
        <w:t>112 incidents of 1,598</w:t>
      </w:r>
      <w:r>
        <w:rPr>
          <w:sz w:val="20"/>
        </w:rPr>
        <w:t>, and no attack type retains a credible sample. Mathematically clean, practically unusable.</w:t>
      </w:r>
    </w:p>
    <w:p>
      <w:pPr>
        <w:pStyle w:val="ListBullet"/>
        <w:spacing w:after="40"/>
        <w:ind w:left="360"/>
      </w:pPr>
      <w:r>
        <w:rPr>
          <w:b/>
          <w:sz w:val="20"/>
        </w:rPr>
        <w:t>Weighted lognormal fit</w:t>
      </w:r>
      <w:r>
        <w:rPr>
          <w:sz w:val="20"/>
        </w:rPr>
        <w:t xml:space="preserve"> on the log scale — it is simply a weighted mean and a weighted variance:</w:t>
      </w:r>
    </w:p>
    <w:p>
      <w:pPr>
        <w:spacing w:before="60" w:after="120"/>
        <w:ind w:left="280"/>
      </w:pPr>
      <w:r>
        <w:rPr>
          <w:rFonts w:ascii="Consolas" w:hAnsi="Consolas"/>
          <w:color w:val="1B4060"/>
          <w:sz w:val="18"/>
        </w:rPr>
        <w:t>w      = w_sector × w_size × exp(− d² / 2h²)      d = |maturity − 55|</w:t>
      </w:r>
      <w:r>
        <w:rPr>
          <w:rFonts w:ascii="Consolas" w:hAnsi="Consolas"/>
          <w:color w:val="1B4060"/>
          <w:sz w:val="18"/>
        </w:rPr>
        <w:br/>
        <w:t>mu     = Σ wᵢ ln xᵢ / Σ wᵢ</w:t>
      </w:r>
      <w:r>
        <w:rPr>
          <w:rFonts w:ascii="Consolas" w:hAnsi="Consolas"/>
          <w:color w:val="1B4060"/>
          <w:sz w:val="18"/>
        </w:rPr>
        <w:br/>
        <w:t>sigma² = Σ wᵢ (ln xᵢ − mu)² / Σ wᵢ</w:t>
      </w:r>
    </w:p>
    <w:p>
      <w:pPr>
        <w:pStyle w:val="ListBullet"/>
        <w:spacing w:after="40"/>
        <w:ind w:left="360"/>
      </w:pPr>
      <w:r>
        <w:rPr>
          <w:b/>
          <w:sz w:val="20"/>
        </w:rPr>
        <w:t>Back to euros</w:t>
      </w:r>
      <w:r>
        <w:rPr>
          <w:sz w:val="20"/>
        </w:rPr>
        <w:t xml:space="preserve">: </w:t>
      </w:r>
      <w:r>
        <w:rPr>
          <w:rFonts w:ascii="Consolas" w:hAnsi="Consolas"/>
          <w:color w:val="1B4060"/>
          <w:sz w:val="18"/>
        </w:rPr>
        <w:t>median = e^mu</w:t>
      </w:r>
      <w:r>
        <w:rPr>
          <w:sz w:val="20"/>
        </w:rPr>
        <w:t xml:space="preserve"> and </w:t>
      </w:r>
      <w:r>
        <w:rPr>
          <w:rFonts w:ascii="Consolas" w:hAnsi="Consolas"/>
          <w:color w:val="1B4060"/>
          <w:sz w:val="18"/>
        </w:rPr>
        <w:t>mean = e^(mu + sigma²/2)</w:t>
      </w:r>
      <w:r>
        <w:rPr>
          <w:sz w:val="20"/>
        </w:rPr>
        <w:t xml:space="preserve">. Careful: mu and sigma are </w:t>
      </w:r>
      <w:r>
        <w:rPr>
          <w:b/>
          <w:sz w:val="20"/>
        </w:rPr>
        <w:t>not</w:t>
      </w:r>
      <w:r>
        <w:rPr>
          <w:sz w:val="20"/>
        </w:rPr>
        <w:t xml:space="preserve"> the mean and standard deviation of the loss, but those of its logarithm.</w:t>
      </w:r>
    </w:p>
    <w:p>
      <w:pPr>
        <w:pStyle w:val="ListBullet"/>
        <w:spacing w:after="40"/>
        <w:ind w:left="360"/>
      </w:pPr>
      <w:r>
        <w:rPr>
          <w:b/>
          <w:sz w:val="20"/>
        </w:rPr>
        <w:t>Example, supply chain</w:t>
      </w:r>
      <w:r>
        <w:rPr>
          <w:sz w:val="20"/>
        </w:rPr>
        <w:t xml:space="preserve">: mu = 12.119, sigma = 2.582 → median </w:t>
      </w:r>
      <w:r>
        <w:rPr>
          <w:b/>
          <w:sz w:val="20"/>
        </w:rPr>
        <w:t>€183k</w:t>
      </w:r>
      <w:r>
        <w:rPr>
          <w:sz w:val="20"/>
        </w:rPr>
        <w:t xml:space="preserve">, mean </w:t>
      </w:r>
      <w:r>
        <w:rPr>
          <w:b/>
          <w:sz w:val="20"/>
        </w:rPr>
        <w:t>€5.1M</w:t>
      </w:r>
      <w:r>
        <w:rPr>
          <w:sz w:val="20"/>
        </w:rPr>
        <w:t xml:space="preserve">. The tail multiplies the mean by </w:t>
      </w:r>
      <w:r>
        <w:rPr>
          <w:b/>
          <w:sz w:val="20"/>
        </w:rPr>
        <w:t>28</w:t>
      </w:r>
      <w:r>
        <w:rPr>
          <w:sz w:val="20"/>
        </w:rPr>
        <w:t>: e^(sigma²/2).</w:t>
      </w:r>
    </w:p>
    <w:p>
      <w:pPr>
        <w:pStyle w:val="ListBullet"/>
        <w:spacing w:after="40"/>
        <w:ind w:left="360"/>
      </w:pPr>
      <w:r>
        <w:rPr>
          <w:b/>
          <w:sz w:val="20"/>
        </w:rPr>
        <w:t>It is the mean that feeds the annual loss</w:t>
      </w:r>
      <w:r>
        <w:rPr>
          <w:sz w:val="20"/>
        </w:rPr>
        <w:t>, not the median. A decision-maker reasoning about the typical incident is wrong by a factor of 28.</w:t>
      </w:r>
    </w:p>
    <w:p>
      <w:pPr>
        <w:pStyle w:val="ListBullet"/>
        <w:spacing w:after="40"/>
        <w:ind w:left="360"/>
      </w:pPr>
      <w:r>
        <w:rPr>
          <w:b/>
          <w:sz w:val="20"/>
        </w:rPr>
        <w:t>Kish n_eff</w:t>
      </w:r>
      <w:r>
        <w:rPr>
          <w:sz w:val="20"/>
        </w:rPr>
        <w:t xml:space="preserve"> = </w:t>
      </w:r>
      <w:r>
        <w:rPr>
          <w:rFonts w:ascii="Consolas" w:hAnsi="Consolas"/>
          <w:color w:val="1B4060"/>
          <w:sz w:val="18"/>
        </w:rPr>
        <w:t>(Σw)² / Σw²</w:t>
      </w:r>
      <w:r>
        <w:rPr>
          <w:sz w:val="20"/>
        </w:rPr>
        <w:t xml:space="preserve">. It is the number of equally weighted observations that would carry as much information. It measures the </w:t>
      </w:r>
      <w:r>
        <w:rPr>
          <w:b/>
          <w:sz w:val="20"/>
        </w:rPr>
        <w:t>evenness</w:t>
      </w:r>
      <w:r>
        <w:rPr>
          <w:sz w:val="20"/>
        </w:rPr>
        <w:t xml:space="preserve"> of the weights, not their size. Below </w:t>
      </w:r>
      <w:r>
        <w:rPr>
          <w:b/>
          <w:sz w:val="20"/>
        </w:rPr>
        <w:t>30</w:t>
      </w:r>
      <w:r>
        <w:rPr>
          <w:sz w:val="20"/>
        </w:rPr>
        <w:t>, the type falls back to the pooled distribution, and the substitution is recorded.</w:t>
      </w:r>
    </w:p>
    <w:p>
      <w:pPr>
        <w:pStyle w:val="ListBullet"/>
        <w:spacing w:after="40"/>
        <w:ind w:left="360"/>
      </w:pPr>
      <w:r>
        <w:rPr>
          <w:b/>
          <w:sz w:val="20"/>
        </w:rPr>
        <w:t>Evidence published with every fit</w:t>
      </w:r>
      <w:r>
        <w:rPr>
          <w:sz w:val="20"/>
        </w:rPr>
        <w:t xml:space="preserve">: weighted KS (here </w:t>
      </w:r>
      <w:r>
        <w:rPr>
          <w:b/>
          <w:sz w:val="20"/>
        </w:rPr>
        <w:t>0.118</w:t>
      </w:r>
      <w:r>
        <w:rPr>
          <w:sz w:val="20"/>
        </w:rPr>
        <w:t xml:space="preserve"> against an indicative threshold ≈ 0.19), a QQ plot of the log-losses, and a </w:t>
      </w:r>
      <w:r>
        <w:rPr>
          <w:b/>
          <w:sz w:val="20"/>
        </w:rPr>
        <w:t>Pareto tail fitted as a rival</w:t>
      </w:r>
      <w:r>
        <w:rPr>
          <w:sz w:val="20"/>
        </w:rPr>
        <w:t xml:space="preserve"> — it wins on 5 fits of 9, so VaR 99 and TVaR 99 read as lower bounds.</w:t>
      </w:r>
    </w:p>
    <w:p>
      <w:pPr>
        <w:spacing w:before="80" w:after="200"/>
        <w:ind w:left="240"/>
      </w:pPr>
      <w:r>
        <w:rPr>
          <w:b/>
          <w:color w:val="0B63A6"/>
          <w:sz w:val="17"/>
        </w:rPr>
        <w:t xml:space="preserve">SAY THIS  </w:t>
      </w:r>
      <w:r>
        <w:rPr>
          <w:i/>
          <w:sz w:val="20"/>
        </w:rPr>
        <w:t>A loss is bounded at zero, has no ceiling, and spans four orders of magnitude: that is the signature of a variable whose logarithm is roughly normal, hence lognormal. I fit by weighted maximum likelihood on the logs — concretely a weighted mean and variance — one fit per attack type, because a single lognormal is rejected by Kolmogorov-Smirnov. The weights come from a similarity kernel on sector, size and maturity: I weight rather than filter, because an exact filter would leave only 112 incidents. The price of that flexibility is a smaller effective sample, which I publish type by type, with a fallback to the pooled distribution below 30.</w:t>
      </w:r>
    </w:p>
    <w:p>
      <w:pPr>
        <w:pStyle w:val="Heading2"/>
        <w:keepNext/>
        <w:pageBreakBefore/>
        <w:spacing w:before="240" w:after="80"/>
      </w:pPr>
      <w:r>
        <w:rPr>
          <w:rFonts w:ascii="Calibri" w:hAnsi="Calibri"/>
          <w:b/>
          <w:color w:val="0B63A6"/>
          <w:sz w:val="30"/>
        </w:rPr>
        <w:t>4. Simulation — what a year costs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Endpoint and parameters</w:t>
      </w:r>
    </w:p>
    <w:p>
      <w:pPr>
        <w:spacing w:before="60" w:after="120"/>
        <w:ind w:left="280"/>
      </w:pPr>
      <w:r>
        <w:rPr>
          <w:rFonts w:ascii="Consolas" w:hAnsi="Consolas"/>
          <w:color w:val="1B4060"/>
          <w:sz w:val="18"/>
        </w:rPr>
        <w:t>POST /api/simulate/</w:t>
      </w:r>
      <w:r>
        <w:rPr>
          <w:rFonts w:ascii="Consolas" w:hAnsi="Consolas"/>
          <w:color w:val="1B4060"/>
          <w:sz w:val="18"/>
        </w:rPr>
        <w:br/>
        <w:t>{</w:t>
      </w:r>
      <w:r>
        <w:rPr>
          <w:rFonts w:ascii="Consolas" w:hAnsi="Consolas"/>
          <w:color w:val="1B4060"/>
          <w:sz w:val="18"/>
        </w:rPr>
        <w:br/>
        <w:t xml:space="preserve">  "n_years": 5000,              "seed": 42,</w:t>
      </w:r>
      <w:r>
        <w:rPr>
          <w:rFonts w:ascii="Consolas" w:hAnsi="Consolas"/>
          <w:color w:val="1B4060"/>
          <w:sz w:val="18"/>
        </w:rPr>
        <w:br/>
        <w:t xml:space="preserve">  "severity_threshold": "high", "session_window_hours": 24,</w:t>
      </w:r>
      <w:r>
        <w:rPr>
          <w:rFonts w:ascii="Consolas" w:hAnsi="Consolas"/>
          <w:color w:val="1B4060"/>
          <w:sz w:val="18"/>
        </w:rPr>
        <w:br/>
        <w:t xml:space="preserve">  "loss_cap_eur": null,         "curve_points": 160,</w:t>
      </w:r>
      <w:r>
        <w:rPr>
          <w:rFonts w:ascii="Consolas" w:hAnsi="Consolas"/>
          <w:color w:val="1B4060"/>
          <w:sz w:val="18"/>
        </w:rPr>
        <w:br/>
        <w:t xml:space="preserve">  "histogram_bins": 40,         "include_sensitivity": true</w:t>
      </w:r>
      <w:r>
        <w:rPr>
          <w:rFonts w:ascii="Consolas" w:hAnsi="Consolas"/>
          <w:color w:val="1B4060"/>
          <w:sz w:val="18"/>
        </w:rPr>
        <w:br/>
        <w:t>}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n_years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 (API) / 100,000 (CLI)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tail resolution; capped at 200,000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seed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bit-for-bit reproducibility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severity_threshold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frequency convention, see §2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session_window_hours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frequency convention, see §2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loss_cap_eur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99.9th percentile ≈ €23.5M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per-incident ceiling; </w:t>
            </w:r>
            <w:r>
              <w:rPr>
                <w:rFonts w:ascii="Consolas" w:hAnsi="Consolas"/>
                <w:color w:val="1B4060"/>
                <w:sz w:val="18"/>
              </w:rPr>
              <w:t>inf</w:t>
            </w:r>
            <w:r>
              <w:rPr>
                <w:sz w:val="18"/>
              </w:rPr>
              <w:t xml:space="preserve"> to disable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curve_points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160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resolution of the OEP/AEP curves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histogram_bins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histogram bins (log)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include_sensitivity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B4060"/>
                <w:sz w:val="18"/>
              </w:rPr>
              <w:t>true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3×3 grid — nine more runs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Call chain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1.  </w:t>
      </w:r>
      <w:r>
        <w:rPr>
          <w:rFonts w:ascii="Consolas" w:hAnsi="Consolas"/>
          <w:color w:val="1B4060"/>
          <w:sz w:val="18"/>
        </w:rPr>
        <w:t>get_simulation(n_years, seed, threshold, window, cap)</w:t>
      </w:r>
      <w:r>
        <w:rPr>
          <w:sz w:val="20"/>
        </w:rPr>
        <w:t xml:space="preserve"> — memoized; </w:t>
      </w:r>
      <w:r>
        <w:rPr>
          <w:b/>
          <w:sz w:val="20"/>
        </w:rPr>
        <w:t>the cap is part of the cache key</w:t>
      </w:r>
      <w:r>
        <w:rPr>
          <w:sz w:val="20"/>
        </w:rPr>
        <w:t>, two ceilings are two answers.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2.  </w:t>
      </w:r>
      <w:r>
        <w:rPr>
          <w:rFonts w:ascii="Consolas" w:hAnsi="Consolas"/>
          <w:color w:val="1B4060"/>
          <w:sz w:val="18"/>
        </w:rPr>
        <w:t>simulate()</w:t>
      </w:r>
      <w:r>
        <w:rPr>
          <w:sz w:val="20"/>
        </w:rPr>
        <w:t xml:space="preserve"> — the Monte Carlo loop, vectorized over blocks of years.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3.  </w:t>
      </w:r>
      <w:r>
        <w:rPr>
          <w:rFonts w:ascii="Consolas" w:hAnsi="Consolas"/>
          <w:color w:val="1B4060"/>
          <w:sz w:val="18"/>
        </w:rPr>
        <w:t>rng.poisson(lam=λ_type, size=block)</w:t>
      </w:r>
      <w:r>
        <w:rPr>
          <w:sz w:val="20"/>
        </w:rPr>
        <w:t xml:space="preserve"> — the incident count of each year.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4.  </w:t>
      </w:r>
      <w:r>
        <w:rPr>
          <w:rFonts w:ascii="Consolas" w:hAnsi="Consolas"/>
          <w:color w:val="1B4060"/>
          <w:sz w:val="18"/>
        </w:rPr>
        <w:t>rng.lognormal(mean=mu, sigma=sigma, size=total)</w:t>
      </w:r>
      <w:r>
        <w:rPr>
          <w:sz w:val="20"/>
        </w:rPr>
        <w:t xml:space="preserve"> — the price of each incident.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5.  </w:t>
      </w:r>
      <w:r>
        <w:rPr>
          <w:rFonts w:ascii="Consolas" w:hAnsi="Consolas"/>
          <w:color w:val="1B4060"/>
          <w:sz w:val="18"/>
        </w:rPr>
        <w:t>np.minimum(losses, cap)</w:t>
      </w:r>
      <w:r>
        <w:rPr>
          <w:sz w:val="20"/>
        </w:rPr>
        <w:t xml:space="preserve"> — the plausibility ceiling.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6.  </w:t>
      </w:r>
      <w:r>
        <w:rPr>
          <w:rFonts w:ascii="Consolas" w:hAnsi="Consolas"/>
          <w:color w:val="1B4060"/>
          <w:sz w:val="18"/>
        </w:rPr>
        <w:t>np.bincount(years, weights=losses)</w:t>
      </w:r>
      <w:r>
        <w:rPr>
          <w:sz w:val="20"/>
        </w:rPr>
        <w:t xml:space="preserve"> — folds incidents back into their year.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7.  </w:t>
      </w:r>
      <w:r>
        <w:rPr>
          <w:rFonts w:ascii="Consolas" w:hAnsi="Consolas"/>
          <w:color w:val="1B4060"/>
          <w:sz w:val="18"/>
        </w:rPr>
        <w:t>summarize(annual_losses)</w:t>
      </w:r>
      <w:r>
        <w:rPr>
          <w:sz w:val="20"/>
        </w:rPr>
        <w:t xml:space="preserve"> — AAL, median, VaR, TVaR, P(no loss), maximum.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8.  </w:t>
      </w:r>
      <w:r>
        <w:rPr>
          <w:rFonts w:ascii="Consolas" w:hAnsi="Consolas"/>
          <w:color w:val="1B4060"/>
          <w:sz w:val="18"/>
        </w:rPr>
        <w:t>exceedance_curve(series, kind)</w:t>
      </w:r>
      <w:r>
        <w:rPr>
          <w:sz w:val="20"/>
        </w:rPr>
        <w:t xml:space="preserve"> — AEP (annual total) and OEP (largest single loss) curves.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9.  </w:t>
      </w:r>
      <w:r>
        <w:rPr>
          <w:rFonts w:ascii="Consolas" w:hAnsi="Consolas"/>
          <w:color w:val="1B4060"/>
          <w:sz w:val="18"/>
        </w:rPr>
        <w:t>SimulationResult.histogram(scale='log')</w:t>
      </w:r>
      <w:r>
        <w:rPr>
          <w:sz w:val="20"/>
        </w:rPr>
        <w:t xml:space="preserve"> — log bins, zero years counted apart.</w:t>
      </w:r>
    </w:p>
    <w:p>
      <w:pPr>
        <w:spacing w:after="40"/>
        <w:ind w:left="640" w:hanging="360"/>
      </w:pPr>
      <w:r>
        <w:rPr>
          <w:color w:val="555F70"/>
          <w:sz w:val="20"/>
        </w:rPr>
        <w:t xml:space="preserve">10. </w:t>
      </w:r>
      <w:r>
        <w:rPr>
          <w:rFonts w:ascii="Consolas" w:hAnsi="Consolas"/>
          <w:color w:val="1B4060"/>
          <w:sz w:val="18"/>
        </w:rPr>
        <w:t>sensitivity_grid()</w:t>
      </w:r>
      <w:r>
        <w:rPr>
          <w:sz w:val="20"/>
        </w:rPr>
        <w:t xml:space="preserve"> — replays threshold × window and reports the AAL of each cell.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The maths</w:t>
      </w:r>
    </w:p>
    <w:p>
      <w:pPr>
        <w:pStyle w:val="ListBullet"/>
        <w:spacing w:after="40"/>
        <w:ind w:left="360"/>
      </w:pPr>
      <w:r>
        <w:rPr>
          <w:b/>
          <w:sz w:val="20"/>
        </w:rPr>
        <w:t>Compound Poisson.</w:t>
      </w:r>
      <w:r>
        <w:rPr>
          <w:sz w:val="20"/>
        </w:rPr>
        <w:t xml:space="preserve"> The annual loss is a sum of a random number of random terms:</w:t>
      </w:r>
    </w:p>
    <w:p>
      <w:pPr>
        <w:spacing w:before="60" w:after="120"/>
        <w:ind w:left="280"/>
      </w:pPr>
      <w:r>
        <w:rPr>
          <w:rFonts w:ascii="Consolas" w:hAnsi="Consolas"/>
          <w:color w:val="1B4060"/>
          <w:sz w:val="18"/>
        </w:rPr>
        <w:t>S = Σᵢ₌₁ᴿ Xᵢ    with N ~ Poisson(λ)  and  Xᵢ ~ Lognormal(mu, sigma)</w:t>
      </w:r>
    </w:p>
    <w:p>
      <w:pPr>
        <w:pStyle w:val="ListBullet"/>
        <w:spacing w:after="40"/>
        <w:ind w:left="360"/>
      </w:pPr>
      <w:r>
        <w:rPr>
          <w:b/>
          <w:sz w:val="20"/>
        </w:rPr>
        <w:t>Compound, do not multiply.</w:t>
      </w:r>
      <w:r>
        <w:rPr>
          <w:sz w:val="20"/>
        </w:rPr>
        <w:t xml:space="preserve"> A year is not frequency times mean cost: it is zero incidents </w:t>
      </w:r>
      <w:r>
        <w:rPr>
          <w:b/>
          <w:sz w:val="20"/>
        </w:rPr>
        <w:t>73.7% of years</w:t>
      </w:r>
      <w:r>
        <w:rPr>
          <w:sz w:val="20"/>
        </w:rPr>
        <w:t>, one sometimes, two very rarely — and the sum of those cases is not the product of the means.</w:t>
      </w:r>
    </w:p>
    <w:p>
      <w:pPr>
        <w:pStyle w:val="ListBullet"/>
        <w:spacing w:after="40"/>
        <w:ind w:left="360"/>
      </w:pPr>
      <w:r>
        <w:rPr>
          <w:b/>
          <w:sz w:val="20"/>
        </w:rPr>
        <w:t>Why simulate rather than use a formula.</w:t>
      </w:r>
      <w:r>
        <w:rPr>
          <w:sz w:val="20"/>
        </w:rPr>
        <w:t xml:space="preserve"> The expectation is analytic (Wald's identity: </w:t>
      </w:r>
      <w:r>
        <w:rPr>
          <w:rFonts w:ascii="Consolas" w:hAnsi="Consolas"/>
          <w:color w:val="1B4060"/>
          <w:sz w:val="18"/>
        </w:rPr>
        <w:t>E[S] = λ × E[X]</w:t>
      </w:r>
      <w:r>
        <w:rPr>
          <w:sz w:val="20"/>
        </w:rPr>
        <w:t xml:space="preserve">), but </w:t>
      </w:r>
      <w:r>
        <w:rPr>
          <w:b/>
          <w:sz w:val="20"/>
        </w:rPr>
        <w:t>the distribution function of S has no closed form</w:t>
      </w:r>
      <w:r>
        <w:rPr>
          <w:sz w:val="20"/>
        </w:rPr>
        <w:t>. And VaR 99 and TVaR 99 are quantiles of S. The full distribution is required.</w:t>
      </w:r>
    </w:p>
    <w:p>
      <w:pPr>
        <w:pStyle w:val="ListBullet"/>
        <w:spacing w:after="40"/>
        <w:ind w:left="360"/>
      </w:pPr>
      <w:r>
        <w:rPr>
          <w:b/>
          <w:sz w:val="20"/>
        </w:rPr>
        <w:t>What fixes the number of years</w:t>
      </w:r>
      <w:r>
        <w:rPr>
          <w:sz w:val="20"/>
        </w:rPr>
        <w:t>: VaR 99 rests on only 1% of the years. Over 100,000 years that is 1,000 observations; over 1,000 years, ten — unusable. The tail decides, not the mean.</w:t>
      </w:r>
    </w:p>
    <w:p>
      <w:pPr>
        <w:pStyle w:val="ListBullet"/>
        <w:spacing w:after="40"/>
        <w:ind w:left="360"/>
      </w:pPr>
      <w:r>
        <w:rPr>
          <w:b/>
          <w:sz w:val="20"/>
        </w:rPr>
        <w:t>Metrics</w:t>
      </w:r>
      <w:r>
        <w:rPr>
          <w:sz w:val="20"/>
        </w:rPr>
        <w:t xml:space="preserve">: </w:t>
      </w:r>
      <w:r>
        <w:rPr>
          <w:rFonts w:ascii="Consolas" w:hAnsi="Consolas"/>
          <w:color w:val="1B4060"/>
          <w:sz w:val="18"/>
        </w:rPr>
        <w:t>VaR_α</w:t>
      </w:r>
      <w:r>
        <w:rPr>
          <w:sz w:val="20"/>
        </w:rPr>
        <w:t xml:space="preserve"> = quantile of order α; </w:t>
      </w:r>
      <w:r>
        <w:rPr>
          <w:rFonts w:ascii="Consolas" w:hAnsi="Consolas"/>
          <w:color w:val="1B4060"/>
          <w:sz w:val="18"/>
        </w:rPr>
        <w:t>TVaR_α</w:t>
      </w:r>
      <w:r>
        <w:rPr>
          <w:sz w:val="20"/>
        </w:rPr>
        <w:t xml:space="preserve"> = </w:t>
      </w:r>
      <w:r>
        <w:rPr>
          <w:rFonts w:ascii="Consolas" w:hAnsi="Consolas"/>
          <w:color w:val="1B4060"/>
          <w:sz w:val="18"/>
        </w:rPr>
        <w:t>E[S | S ≥ VaR_α]</w:t>
      </w:r>
      <w:r>
        <w:rPr>
          <w:sz w:val="20"/>
        </w:rPr>
        <w:t xml:space="preserve">. </w:t>
      </w:r>
      <w:r>
        <w:rPr>
          <w:rFonts w:ascii="Consolas" w:hAnsi="Consolas"/>
          <w:color w:val="1B4060"/>
          <w:sz w:val="18"/>
        </w:rPr>
        <w:t>TVaR ≥ VaR</w:t>
      </w:r>
      <w:r>
        <w:rPr>
          <w:sz w:val="20"/>
        </w:rPr>
        <w:t xml:space="preserve"> by construction — a tested invariant.</w:t>
      </w:r>
    </w:p>
    <w:p>
      <w:pPr>
        <w:pStyle w:val="ListBullet"/>
        <w:spacing w:after="40"/>
        <w:ind w:left="360"/>
      </w:pPr>
      <w:r>
        <w:rPr>
          <w:b/>
          <w:sz w:val="20"/>
        </w:rPr>
        <w:t>AEP vs OEP.</w:t>
      </w:r>
      <w:r>
        <w:rPr>
          <w:sz w:val="20"/>
        </w:rPr>
        <w:t xml:space="preserve"> AEP = the year's total; OEP = the year's largest single loss. OEP can never exceed AEP at equal probability, and their gap measures the share of years with several incidents.</w:t>
      </w:r>
    </w:p>
    <w:p>
      <w:pPr>
        <w:pStyle w:val="ListBullet"/>
        <w:spacing w:after="40"/>
        <w:ind w:left="360"/>
      </w:pPr>
      <w:r>
        <w:rPr>
          <w:b/>
          <w:sz w:val="20"/>
        </w:rPr>
        <w:t>Plausibility ceiling.</w:t>
      </w:r>
      <w:r>
        <w:rPr>
          <w:sz w:val="20"/>
        </w:rPr>
        <w:t xml:space="preserve"> A lognormal has no upper bound: at sigma 2.582 and over 100,000 years it eventually draws an incident costing more than the company is worth (€3.8bn uncapped). Every loss is therefore clipped at </w:t>
      </w:r>
      <w:r>
        <w:rPr>
          <w:b/>
          <w:sz w:val="20"/>
        </w:rPr>
        <w:t>€23.5M</w:t>
      </w:r>
      <w:r>
        <w:rPr>
          <w:sz w:val="20"/>
        </w:rPr>
        <w:t>, the 99.9th percentile of the losses comparable organisations were actually observed to suffer — 0.9% of draws are affected.</w:t>
      </w:r>
    </w:p>
    <w:p>
      <w:pPr>
        <w:pStyle w:val="ListBullet"/>
        <w:spacing w:after="40"/>
        <w:ind w:left="360"/>
      </w:pPr>
      <w:r>
        <w:rPr>
          <w:b/>
          <w:sz w:val="20"/>
        </w:rPr>
        <w:t>The ceiling's effect is reported, not absorbed</w:t>
      </w:r>
      <w:r>
        <w:rPr>
          <w:sz w:val="20"/>
        </w:rPr>
        <w:t xml:space="preserve">: the result carries </w:t>
      </w:r>
      <w:r>
        <w:rPr>
          <w:rFonts w:ascii="Consolas" w:hAnsi="Consolas"/>
          <w:color w:val="1B4060"/>
          <w:sz w:val="18"/>
        </w:rPr>
        <w:t>draws_capped</w:t>
      </w:r>
      <w:r>
        <w:rPr>
          <w:sz w:val="20"/>
        </w:rPr>
        <w:t xml:space="preserve">, </w:t>
      </w:r>
      <w:r>
        <w:rPr>
          <w:rFonts w:ascii="Consolas" w:hAnsi="Consolas"/>
          <w:color w:val="1B4060"/>
          <w:sz w:val="18"/>
        </w:rPr>
        <w:t>draws_total</w:t>
      </w:r>
      <w:r>
        <w:rPr>
          <w:sz w:val="20"/>
        </w:rPr>
        <w:t xml:space="preserve"> and </w:t>
      </w:r>
      <w:r>
        <w:rPr>
          <w:rFonts w:ascii="Consolas" w:hAnsi="Consolas"/>
          <w:color w:val="1B4060"/>
          <w:sz w:val="18"/>
        </w:rPr>
        <w:t>aal_uncapped</w:t>
      </w:r>
      <w:r>
        <w:rPr>
          <w:sz w:val="20"/>
        </w:rPr>
        <w:t>.</w:t>
      </w:r>
    </w:p>
    <w:p>
      <w:pPr>
        <w:pStyle w:val="Heading3"/>
        <w:keepNext/>
        <w:pageBreakBefore w:val="0"/>
        <w:spacing w:before="160" w:after="80"/>
      </w:pPr>
      <w:r>
        <w:rPr>
          <w:rFonts w:ascii="Calibri" w:hAnsi="Calibri"/>
          <w:b/>
          <w:color w:val="111827"/>
          <w:sz w:val="24"/>
        </w:rPr>
        <w:t>Figures produced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8"/>
              </w:rPr>
              <w:t>Business reading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AAL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€274k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budget line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Median year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€0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73.7% of years with no incident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VaR 95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€816k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risk appetite — 1 year in 20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TVaR 95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€4.8M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mean of the worst 5% of years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VaR 99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€6.7M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1 year in 100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TVaR 99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€15.1M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survival question</w:t>
            </w:r>
          </w:p>
        </w:tc>
      </w:tr>
    </w:tbl>
    <w:p>
      <w:pPr>
        <w:spacing w:after="40"/>
      </w:pPr>
    </w:p>
    <w:p>
      <w:r>
        <w:rPr>
          <w:i w:val="0"/>
          <w:color w:val="555F70"/>
          <w:sz w:val="19"/>
        </w:rPr>
        <w:t>The TVaR 95 / VaR 95 ratio is 5.9: once past the threshold of the bad year, the typical loss is almost six times that threshold. That is the definition of a heavy tail.</w:t>
      </w:r>
    </w:p>
    <w:p>
      <w:pPr>
        <w:spacing w:before="80" w:after="200"/>
        <w:ind w:left="240"/>
      </w:pPr>
      <w:r>
        <w:rPr>
          <w:b/>
          <w:color w:val="0B63A6"/>
          <w:sz w:val="17"/>
        </w:rPr>
        <w:t xml:space="preserve">SAY THIS  </w:t>
      </w:r>
      <w:r>
        <w:rPr>
          <w:i/>
          <w:sz w:val="20"/>
        </w:rPr>
        <w:t>For each simulated year I draw an incident count per attack type from a Poisson distribution, price each incident in its type's lognormal, and sum. A hundred thousand years, seed 42, reproducible to the cent. I simulate rather than apply a formula because the expectation is analytic but the quantiles are not: VaR 99 and TVaR 99 need the full distribution. And I cap each single loss at the 99.9th percentile of the losses observed among peers, because an unbounded lognormal eventually draws a €3.8 billion year for a 1,200-person company — the cap removes 37.5% of the AAL, and I show that rather than absorb it.</w:t>
      </w:r>
    </w:p>
    <w:p>
      <w:pPr>
        <w:pStyle w:val="Heading2"/>
        <w:keepNext/>
        <w:pageBreakBefore/>
        <w:spacing w:before="240" w:after="80"/>
      </w:pPr>
      <w:r>
        <w:rPr>
          <w:rFonts w:ascii="Calibri" w:hAnsi="Calibri"/>
          <w:b/>
          <w:color w:val="0B63A6"/>
          <w:sz w:val="30"/>
        </w:rPr>
        <w:t>Cheat sheet: five questions, five thirty-second answers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8"/>
              </w:rPr>
              <w:t>Answer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Why deduplicate?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12,343 events are seen by both feeds. Concatenating would inflate every rate by 42.4%.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Why episodes?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An intrusion produces a burst of alerts. Counting alerts would measure the estate's detection verbosity, not how often it is attacked.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Why a calibration?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The telemetry counts detected attacks, the external base counts loss-causing incidents. Multiplying the two directly is a category error — it is what produced €12.5bn.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Why weight rather than filter?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An exact filter leaves only 112 incidents and no modellable type. Weighting keeps everyone, with the closest dominating.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Why Monte Carlo?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The expectation has a formula, the quantiles do not. VaR 99 and TVaR 99 require the full compound distribution.</w:t>
            </w:r>
          </w:p>
        </w:tc>
      </w:tr>
    </w:tbl>
    <w:p>
      <w:pPr>
        <w:spacing w:after="40"/>
      </w:pPr>
    </w:p>
    <w:p>
      <w:r>
        <w:rPr>
          <w:i/>
          <w:color w:val="555F70"/>
          <w:sz w:val="18"/>
        </w:rPr>
        <w:t>Mathematical concepts in detail: CONCEPTS.md (in French). Modeling decisions and their justification: METHODOLOGY.md. What was not built and why: next_steps.md.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