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pageBreakBefore w:val="0"/>
        <w:spacing w:before="240" w:after="80"/>
      </w:pPr>
      <w:r>
        <w:rPr>
          <w:rFonts w:ascii="Calibri" w:hAnsi="Calibri"/>
          <w:b/>
          <w:color w:val="0B63A6"/>
          <w:sz w:val="40"/>
        </w:rPr>
        <w:t>Logique métier, page par page</w:t>
      </w:r>
    </w:p>
    <w:p>
      <w:r>
        <w:rPr>
          <w:i w:val="0"/>
          <w:color w:val="555F70"/>
          <w:sz w:val="20"/>
        </w:rPr>
        <w:t>Pour chaque page du cockpit : l'endpoint appelé, ses paramètres, la chaîne de fonctions traversée, et les maths derrière le calcul. Chaque section finit par la réponse à donner à l'oral.</w:t>
      </w:r>
    </w:p>
    <w:p>
      <w:r>
        <w:rPr>
          <w:i/>
          <w:color w:val="555F70"/>
          <w:sz w:val="18"/>
        </w:rPr>
        <w:t>Chiffres du moteur, seed 42, 100 000 années simulées. Toute valeur citée ici sort de deck/figures.json, écrit par le pipeline.</w:t>
      </w:r>
    </w:p>
    <w:p>
      <w:pPr>
        <w:pStyle w:val="Heading2"/>
        <w:keepNext/>
        <w:pageBreakBefore w:val="0"/>
        <w:spacing w:before="240" w:after="80"/>
      </w:pPr>
      <w:r>
        <w:rPr>
          <w:rFonts w:ascii="Calibri" w:hAnsi="Calibri"/>
          <w:b/>
          <w:color w:val="0B63A6"/>
          <w:sz w:val="30"/>
        </w:rPr>
        <w:t>Vue d'ensemble</w:t>
      </w:r>
    </w:p>
    <w:tbl>
      <w:tblPr>
        <w:tblStyle w:val="LightGrid-Accent1"/>
        <w:tblW w:type="auto" w:w="0"/>
        <w:jc w:val="left"/>
        <w:tblLook w:firstColumn="1" w:firstRow="1" w:lastColumn="0" w:lastRow="0" w:noHBand="0" w:noVBand="1" w:val="04A0"/>
      </w:tblPr>
      <w:tblGrid>
        <w:gridCol w:w="2520"/>
        <w:gridCol w:w="2520"/>
        <w:gridCol w:w="2520"/>
        <w:gridCol w:w="2520"/>
      </w:tblGrid>
      <w:tr>
        <w:tc>
          <w:tcPr>
            <w:tcW w:type="dxa" w:w="2520"/>
          </w:tcPr>
          <w:p>
            <w:r/>
            <w:r>
              <w:rPr>
                <w:b/>
                <w:sz w:val="18"/>
              </w:rPr>
              <w:t>Page</w:t>
            </w:r>
          </w:p>
        </w:tc>
        <w:tc>
          <w:tcPr>
            <w:tcW w:type="dxa" w:w="2520"/>
          </w:tcPr>
          <w:p>
            <w:r/>
            <w:r>
              <w:rPr>
                <w:b/>
                <w:sz w:val="18"/>
              </w:rPr>
              <w:t>Endpoint</w:t>
            </w:r>
          </w:p>
        </w:tc>
        <w:tc>
          <w:tcPr>
            <w:tcW w:type="dxa" w:w="2520"/>
          </w:tcPr>
          <w:p>
            <w:r/>
            <w:r>
              <w:rPr>
                <w:b/>
                <w:sz w:val="18"/>
              </w:rPr>
              <w:t>Paramètres</w:t>
            </w:r>
          </w:p>
        </w:tc>
        <w:tc>
          <w:tcPr>
            <w:tcW w:type="dxa" w:w="2520"/>
          </w:tcPr>
          <w:p>
            <w:r/>
            <w:r>
              <w:rPr>
                <w:b/>
                <w:sz w:val="18"/>
              </w:rPr>
              <w:t>Coût</w:t>
            </w:r>
          </w:p>
        </w:tc>
      </w:tr>
      <w:tr>
        <w:tc>
          <w:tcPr>
            <w:tcW w:type="dxa" w:w="2520"/>
          </w:tcPr>
          <w:p>
            <w:r>
              <w:rPr>
                <w:sz w:val="18"/>
              </w:rPr>
            </w:r>
            <w:r>
              <w:rPr>
                <w:sz w:val="18"/>
              </w:rPr>
              <w:t>Overview</w:t>
            </w:r>
          </w:p>
        </w:tc>
        <w:tc>
          <w:tcPr>
            <w:tcW w:type="dxa" w:w="2520"/>
          </w:tcPr>
          <w:p>
            <w:r>
              <w:rPr>
                <w:sz w:val="18"/>
              </w:rPr>
            </w:r>
            <w:r>
              <w:rPr>
                <w:sz w:val="18"/>
              </w:rPr>
              <w:t>les 4 ci-dessous</w:t>
            </w:r>
          </w:p>
        </w:tc>
        <w:tc>
          <w:tcPr>
            <w:tcW w:type="dxa" w:w="2520"/>
          </w:tcPr>
          <w:p>
            <w:r>
              <w:rPr>
                <w:sz w:val="18"/>
              </w:rPr>
            </w:r>
            <w:r>
              <w:rPr>
                <w:sz w:val="18"/>
              </w:rPr>
              <w:t>—</w:t>
            </w:r>
          </w:p>
        </w:tc>
        <w:tc>
          <w:tcPr>
            <w:tcW w:type="dxa" w:w="2520"/>
          </w:tcPr>
          <w:p>
            <w:r>
              <w:rPr>
                <w:sz w:val="18"/>
              </w:rPr>
            </w:r>
            <w:r>
              <w:rPr>
                <w:sz w:val="18"/>
              </w:rPr>
              <w:t>tout en cache</w:t>
            </w:r>
          </w:p>
        </w:tc>
      </w:tr>
      <w:tr>
        <w:tc>
          <w:tcPr>
            <w:tcW w:type="dxa" w:w="2520"/>
          </w:tcPr>
          <w:p>
            <w:r>
              <w:rPr>
                <w:sz w:val="18"/>
              </w:rPr>
            </w:r>
            <w:r>
              <w:rPr>
                <w:sz w:val="18"/>
              </w:rPr>
              <w:t>Telemetry</w:t>
            </w:r>
          </w:p>
        </w:tc>
        <w:tc>
          <w:tcPr>
            <w:tcW w:type="dxa" w:w="2520"/>
          </w:tcPr>
          <w:p>
            <w:r>
              <w:rPr>
                <w:sz w:val="18"/>
              </w:rPr>
            </w:r>
            <w:r>
              <w:rPr>
                <w:rFonts w:ascii="Consolas" w:hAnsi="Consolas"/>
                <w:color w:val="1B4060"/>
                <w:sz w:val="18"/>
              </w:rPr>
              <w:t>GET /api/telemetry/summary/</w:t>
            </w:r>
            <w:r>
              <w:rPr>
                <w:sz w:val="18"/>
              </w:rPr>
              <w:br/>
            </w:r>
            <w:r>
              <w:rPr>
                <w:rFonts w:ascii="Consolas" w:hAnsi="Consolas"/>
                <w:color w:val="1B4060"/>
                <w:sz w:val="18"/>
              </w:rPr>
              <w:t>GET /api/frequency/</w:t>
            </w:r>
          </w:p>
        </w:tc>
        <w:tc>
          <w:tcPr>
            <w:tcW w:type="dxa" w:w="2520"/>
          </w:tcPr>
          <w:p>
            <w:r>
              <w:rPr>
                <w:sz w:val="18"/>
              </w:rPr>
            </w:r>
            <w:r>
              <w:rPr>
                <w:sz w:val="18"/>
              </w:rPr>
              <w:t>aucun</w:t>
            </w:r>
          </w:p>
        </w:tc>
        <w:tc>
          <w:tcPr>
            <w:tcW w:type="dxa" w:w="2520"/>
          </w:tcPr>
          <w:p>
            <w:r>
              <w:rPr>
                <w:sz w:val="18"/>
              </w:rPr>
            </w:r>
            <w:r>
              <w:rPr>
                <w:sz w:val="18"/>
              </w:rPr>
              <w:t>cache</w:t>
            </w:r>
          </w:p>
        </w:tc>
      </w:tr>
      <w:tr>
        <w:tc>
          <w:tcPr>
            <w:tcW w:type="dxa" w:w="2520"/>
          </w:tcPr>
          <w:p>
            <w:r>
              <w:rPr>
                <w:sz w:val="18"/>
              </w:rPr>
            </w:r>
            <w:r>
              <w:rPr>
                <w:sz w:val="18"/>
              </w:rPr>
              <w:t>Frequency</w:t>
            </w:r>
          </w:p>
        </w:tc>
        <w:tc>
          <w:tcPr>
            <w:tcW w:type="dxa" w:w="2520"/>
          </w:tcPr>
          <w:p>
            <w:r>
              <w:rPr>
                <w:sz w:val="18"/>
              </w:rPr>
            </w:r>
            <w:r>
              <w:rPr>
                <w:rFonts w:ascii="Consolas" w:hAnsi="Consolas"/>
                <w:color w:val="1B4060"/>
                <w:sz w:val="18"/>
              </w:rPr>
              <w:t>GET /api/frequency/</w:t>
            </w:r>
            <w:r>
              <w:rPr>
                <w:sz w:val="18"/>
              </w:rPr>
              <w:br/>
            </w:r>
            <w:r>
              <w:rPr>
                <w:rFonts w:ascii="Consolas" w:hAnsi="Consolas"/>
                <w:color w:val="1B4060"/>
                <w:sz w:val="18"/>
              </w:rPr>
              <w:t>GET /api/assets/</w:t>
            </w:r>
          </w:p>
        </w:tc>
        <w:tc>
          <w:tcPr>
            <w:tcW w:type="dxa" w:w="2520"/>
          </w:tcPr>
          <w:p>
            <w:r>
              <w:rPr>
                <w:sz w:val="18"/>
              </w:rPr>
            </w:r>
            <w:r>
              <w:rPr>
                <w:sz w:val="18"/>
              </w:rPr>
              <w:t>seuil, fenêtre</w:t>
            </w:r>
          </w:p>
        </w:tc>
        <w:tc>
          <w:tcPr>
            <w:tcW w:type="dxa" w:w="2520"/>
          </w:tcPr>
          <w:p>
            <w:r>
              <w:rPr>
                <w:sz w:val="18"/>
              </w:rPr>
            </w:r>
            <w:r>
              <w:rPr>
                <w:sz w:val="18"/>
              </w:rPr>
              <w:t>~1 s</w:t>
            </w:r>
          </w:p>
        </w:tc>
      </w:tr>
      <w:tr>
        <w:tc>
          <w:tcPr>
            <w:tcW w:type="dxa" w:w="2520"/>
          </w:tcPr>
          <w:p>
            <w:r>
              <w:rPr>
                <w:sz w:val="18"/>
              </w:rPr>
            </w:r>
            <w:r>
              <w:rPr>
                <w:sz w:val="18"/>
              </w:rPr>
              <w:t>Severity</w:t>
            </w:r>
          </w:p>
        </w:tc>
        <w:tc>
          <w:tcPr>
            <w:tcW w:type="dxa" w:w="2520"/>
          </w:tcPr>
          <w:p>
            <w:r>
              <w:rPr>
                <w:sz w:val="18"/>
              </w:rPr>
            </w:r>
            <w:r>
              <w:rPr>
                <w:rFonts w:ascii="Consolas" w:hAnsi="Consolas"/>
                <w:color w:val="1B4060"/>
                <w:sz w:val="18"/>
              </w:rPr>
              <w:t>GET /api/severity/</w:t>
            </w:r>
          </w:p>
        </w:tc>
        <w:tc>
          <w:tcPr>
            <w:tcW w:type="dxa" w:w="2520"/>
          </w:tcPr>
          <w:p>
            <w:r>
              <w:rPr>
                <w:sz w:val="18"/>
              </w:rPr>
            </w:r>
            <w:r>
              <w:rPr>
                <w:sz w:val="18"/>
              </w:rPr>
              <w:t>aucun</w:t>
            </w:r>
          </w:p>
        </w:tc>
        <w:tc>
          <w:tcPr>
            <w:tcW w:type="dxa" w:w="2520"/>
          </w:tcPr>
          <w:p>
            <w:r>
              <w:rPr>
                <w:sz w:val="18"/>
              </w:rPr>
            </w:r>
            <w:r>
              <w:rPr>
                <w:sz w:val="18"/>
              </w:rPr>
              <w:t>cache</w:t>
            </w:r>
          </w:p>
        </w:tc>
      </w:tr>
      <w:tr>
        <w:tc>
          <w:tcPr>
            <w:tcW w:type="dxa" w:w="2520"/>
          </w:tcPr>
          <w:p>
            <w:r>
              <w:rPr>
                <w:sz w:val="18"/>
              </w:rPr>
            </w:r>
            <w:r>
              <w:rPr>
                <w:sz w:val="18"/>
              </w:rPr>
              <w:t>Simulation</w:t>
            </w:r>
          </w:p>
        </w:tc>
        <w:tc>
          <w:tcPr>
            <w:tcW w:type="dxa" w:w="2520"/>
          </w:tcPr>
          <w:p>
            <w:r>
              <w:rPr>
                <w:sz w:val="18"/>
              </w:rPr>
            </w:r>
            <w:r>
              <w:rPr>
                <w:rFonts w:ascii="Consolas" w:hAnsi="Consolas"/>
                <w:color w:val="1B4060"/>
                <w:sz w:val="18"/>
              </w:rPr>
              <w:t>POST /api/simulate/</w:t>
            </w:r>
          </w:p>
        </w:tc>
        <w:tc>
          <w:tcPr>
            <w:tcW w:type="dxa" w:w="2520"/>
          </w:tcPr>
          <w:p>
            <w:r>
              <w:rPr>
                <w:sz w:val="18"/>
              </w:rPr>
            </w:r>
            <w:r>
              <w:rPr>
                <w:sz w:val="18"/>
              </w:rPr>
              <w:t>7 (voir §4)</w:t>
            </w:r>
          </w:p>
        </w:tc>
        <w:tc>
          <w:tcPr>
            <w:tcW w:type="dxa" w:w="2520"/>
          </w:tcPr>
          <w:p>
            <w:r>
              <w:rPr>
                <w:sz w:val="18"/>
              </w:rPr>
            </w:r>
            <w:r>
              <w:rPr>
                <w:sz w:val="18"/>
              </w:rPr>
              <w:t>quelques s</w:t>
            </w:r>
          </w:p>
        </w:tc>
      </w:tr>
    </w:tbl>
    <w:p>
      <w:pPr>
        <w:spacing w:after="40"/>
      </w:pPr>
    </w:p>
    <w:p>
      <w:pPr>
        <w:pStyle w:val="ListBullet"/>
        <w:spacing w:after="40"/>
        <w:ind w:left="360"/>
      </w:pPr>
      <w:r>
        <w:rPr>
          <w:b/>
          <w:sz w:val="20"/>
        </w:rPr>
        <w:t>Une seule règle d'architecture</w:t>
      </w:r>
      <w:r>
        <w:rPr>
          <w:sz w:val="20"/>
        </w:rPr>
        <w:t xml:space="preserve"> : la vue lit la requête, appelle le moteur, sérialise. Aucun calcul de risque dans Django, aucun dans le front.</w:t>
      </w:r>
    </w:p>
    <w:p>
      <w:pPr>
        <w:pStyle w:val="ListBullet"/>
        <w:spacing w:after="40"/>
        <w:ind w:left="360"/>
      </w:pPr>
      <w:r>
        <w:rPr>
          <w:b/>
          <w:sz w:val="20"/>
        </w:rPr>
        <w:t>Deux niveaux de cache</w:t>
      </w:r>
      <w:r>
        <w:rPr>
          <w:sz w:val="20"/>
        </w:rPr>
        <w:t xml:space="preserve"> : </w:t>
      </w:r>
      <w:r>
        <w:rPr>
          <w:rFonts w:ascii="Consolas" w:hAnsi="Consolas"/>
          <w:color w:val="1B4060"/>
          <w:sz w:val="18"/>
        </w:rPr>
        <w:t>get_dataset()</w:t>
      </w:r>
      <w:r>
        <w:rPr>
          <w:sz w:val="20"/>
        </w:rPr>
        <w:t xml:space="preserve"> charge et ajuste une fois pour toutes (les CSV ne changent pas) ; </w:t>
      </w:r>
      <w:r>
        <w:rPr>
          <w:rFonts w:ascii="Consolas" w:hAnsi="Consolas"/>
          <w:color w:val="1B4060"/>
          <w:sz w:val="18"/>
        </w:rPr>
        <w:t>get_frequency()</w:t>
      </w:r>
      <w:r>
        <w:rPr>
          <w:sz w:val="20"/>
        </w:rPr>
        <w:t xml:space="preserve"> et </w:t>
      </w:r>
      <w:r>
        <w:rPr>
          <w:rFonts w:ascii="Consolas" w:hAnsi="Consolas"/>
          <w:color w:val="1B4060"/>
          <w:sz w:val="18"/>
        </w:rPr>
        <w:t>get_simulation()</w:t>
      </w:r>
      <w:r>
        <w:rPr>
          <w:sz w:val="20"/>
        </w:rPr>
        <w:t xml:space="preserve"> sont mémoïsés par jeu de paramètres.</w:t>
      </w:r>
    </w:p>
    <w:p>
      <w:pPr>
        <w:pStyle w:val="ListBullet"/>
        <w:spacing w:after="40"/>
        <w:ind w:left="360"/>
      </w:pPr>
      <w:r>
        <w:rPr>
          <w:b/>
          <w:sz w:val="20"/>
        </w:rPr>
        <w:t>Tout objet de résultat expose</w:t>
      </w:r>
      <w:r>
        <w:rPr>
          <w:sz w:val="20"/>
        </w:rPr>
        <w:t xml:space="preserve"> </w:t>
      </w:r>
      <w:r>
        <w:rPr>
          <w:rFonts w:ascii="Consolas" w:hAnsi="Consolas"/>
          <w:color w:val="1B4060"/>
          <w:sz w:val="18"/>
        </w:rPr>
        <w:t>to_explanation()</w:t>
      </w:r>
      <w:r>
        <w:rPr>
          <w:sz w:val="20"/>
        </w:rPr>
        <w:t xml:space="preserve"> — la trace numérotée que la CLI imprime, que l'API sert et que l'interface affiche. Une seule version de chaque chiffre.</w:t>
      </w:r>
    </w:p>
    <w:p>
      <w:pPr>
        <w:pStyle w:val="Heading2"/>
        <w:keepNext/>
        <w:pageBreakBefore/>
        <w:spacing w:before="240" w:after="80"/>
      </w:pPr>
      <w:r>
        <w:rPr>
          <w:rFonts w:ascii="Calibri" w:hAnsi="Calibri"/>
          <w:b/>
          <w:color w:val="0B63A6"/>
          <w:sz w:val="30"/>
        </w:rPr>
        <w:t>1. Telemetry — ce que les sondes ont vu</w:t>
      </w:r>
    </w:p>
    <w:p>
      <w:pPr>
        <w:pStyle w:val="Heading3"/>
        <w:keepNext/>
        <w:pageBreakBefore w:val="0"/>
        <w:spacing w:before="160" w:after="80"/>
      </w:pPr>
      <w:r>
        <w:rPr>
          <w:rFonts w:ascii="Calibri" w:hAnsi="Calibri"/>
          <w:b/>
          <w:color w:val="111827"/>
          <w:sz w:val="24"/>
        </w:rPr>
        <w:t>Endpoint et paramètres</w:t>
      </w:r>
    </w:p>
    <w:p>
      <w:pPr>
        <w:spacing w:before="60" w:after="120"/>
        <w:ind w:left="280"/>
      </w:pPr>
      <w:r>
        <w:rPr>
          <w:rFonts w:ascii="Consolas" w:hAnsi="Consolas"/>
          <w:color w:val="1B4060"/>
          <w:sz w:val="18"/>
        </w:rPr>
        <w:t>GET /api/telemetry/summary/      (aucun paramètre)</w:t>
      </w:r>
      <w:r>
        <w:rPr>
          <w:rFonts w:ascii="Consolas" w:hAnsi="Consolas"/>
          <w:color w:val="1B4060"/>
          <w:sz w:val="18"/>
        </w:rPr>
        <w:br/>
        <w:t>GET /api/frequency/</w:t>
      </w:r>
    </w:p>
    <w:p>
      <w:pPr>
        <w:pStyle w:val="ListBullet"/>
        <w:spacing w:after="40"/>
        <w:ind w:left="360"/>
      </w:pPr>
      <w:r>
        <w:rPr>
          <w:sz w:val="20"/>
        </w:rPr>
        <w:t xml:space="preserve">Le second appel ne sert qu'au </w:t>
      </w:r>
      <w:r>
        <w:rPr>
          <w:b/>
          <w:sz w:val="20"/>
        </w:rPr>
        <w:t>dernier étage de l'entonnoir</w:t>
      </w:r>
      <w:r>
        <w:rPr>
          <w:sz w:val="20"/>
        </w:rPr>
        <w:t xml:space="preserve"> : le taux d'incidents que la simulation consomme.</w:t>
      </w:r>
    </w:p>
    <w:p>
      <w:pPr>
        <w:pStyle w:val="ListBullet"/>
        <w:spacing w:after="40"/>
        <w:ind w:left="360"/>
      </w:pPr>
      <w:r>
        <w:rPr>
          <w:sz w:val="20"/>
        </w:rPr>
        <w:t>Aucun paramètre : la normalisation ne dépend d'aucune convention.</w:t>
      </w:r>
    </w:p>
    <w:p>
      <w:pPr>
        <w:pStyle w:val="Heading3"/>
        <w:keepNext/>
        <w:pageBreakBefore w:val="0"/>
        <w:spacing w:before="160" w:after="80"/>
      </w:pPr>
      <w:r>
        <w:rPr>
          <w:rFonts w:ascii="Calibri" w:hAnsi="Calibri"/>
          <w:b/>
          <w:color w:val="111827"/>
          <w:sz w:val="24"/>
        </w:rPr>
        <w:t>Chaîne de fonctions</w:t>
      </w:r>
    </w:p>
    <w:p>
      <w:pPr>
        <w:spacing w:after="40"/>
        <w:ind w:left="640" w:hanging="360"/>
      </w:pPr>
      <w:r>
        <w:rPr>
          <w:color w:val="555F70"/>
          <w:sz w:val="20"/>
        </w:rPr>
        <w:t xml:space="preserve">1.  </w:t>
      </w:r>
      <w:r>
        <w:rPr>
          <w:rFonts w:ascii="Consolas" w:hAnsi="Consolas"/>
          <w:color w:val="1B4060"/>
          <w:sz w:val="18"/>
        </w:rPr>
        <w:t>load_assets()</w:t>
      </w:r>
      <w:r>
        <w:rPr>
          <w:sz w:val="20"/>
        </w:rPr>
        <w:t xml:space="preserve"> — lit le référentiel des 20 actifs.</w:t>
      </w:r>
    </w:p>
    <w:p>
      <w:pPr>
        <w:spacing w:after="40"/>
        <w:ind w:left="640" w:hanging="360"/>
      </w:pPr>
      <w:r>
        <w:rPr>
          <w:color w:val="555F70"/>
          <w:sz w:val="20"/>
        </w:rPr>
        <w:t xml:space="preserve">2.  </w:t>
      </w:r>
      <w:r>
        <w:rPr>
          <w:rFonts w:ascii="Consolas" w:hAnsi="Consolas"/>
          <w:color w:val="1B4060"/>
          <w:sz w:val="18"/>
        </w:rPr>
        <w:t>load_siem()</w:t>
      </w:r>
      <w:r>
        <w:rPr>
          <w:sz w:val="20"/>
        </w:rPr>
        <w:t xml:space="preserve"> / </w:t>
      </w:r>
      <w:r>
        <w:rPr>
          <w:rFonts w:ascii="Consolas" w:hAnsi="Consolas"/>
          <w:color w:val="1B4060"/>
          <w:sz w:val="18"/>
        </w:rPr>
        <w:t>load_edr()</w:t>
      </w:r>
      <w:r>
        <w:rPr>
          <w:sz w:val="20"/>
        </w:rPr>
        <w:t xml:space="preserve"> — lisent chaque export et le traduisent en </w:t>
      </w:r>
      <w:r>
        <w:rPr>
          <w:rFonts w:ascii="Consolas" w:hAnsi="Consolas"/>
          <w:color w:val="1B4060"/>
          <w:sz w:val="18"/>
        </w:rPr>
        <w:t>SecurityEvent</w:t>
      </w:r>
      <w:r>
        <w:rPr>
          <w:sz w:val="20"/>
        </w:rPr>
        <w:t xml:space="preserve"> canoniques. C'est là que les deux échelles de sévérité sont ramenées à un vocabulaire commun.</w:t>
      </w:r>
    </w:p>
    <w:p>
      <w:pPr>
        <w:spacing w:after="40"/>
        <w:ind w:left="640" w:hanging="360"/>
      </w:pPr>
      <w:r>
        <w:rPr>
          <w:color w:val="555F70"/>
          <w:sz w:val="20"/>
        </w:rPr>
        <w:t xml:space="preserve">3.  </w:t>
      </w:r>
      <w:r>
        <w:rPr>
          <w:rFonts w:ascii="Consolas" w:hAnsi="Consolas"/>
          <w:color w:val="1B4060"/>
          <w:sz w:val="18"/>
        </w:rPr>
        <w:t>severity_from_siem_label()</w:t>
      </w:r>
      <w:r>
        <w:rPr>
          <w:sz w:val="20"/>
        </w:rPr>
        <w:t xml:space="preserve"> — </w:t>
      </w:r>
      <w:r>
        <w:rPr>
          <w:rFonts w:ascii="Consolas" w:hAnsi="Consolas"/>
          <w:color w:val="1B4060"/>
          <w:sz w:val="18"/>
        </w:rPr>
        <w:t>Low/Medium/High/Critical</w:t>
      </w:r>
      <w:r>
        <w:rPr>
          <w:sz w:val="20"/>
        </w:rPr>
        <w:t xml:space="preserve"> → classe.</w:t>
      </w:r>
    </w:p>
    <w:p>
      <w:pPr>
        <w:spacing w:after="40"/>
        <w:ind w:left="640" w:hanging="360"/>
      </w:pPr>
      <w:r>
        <w:rPr>
          <w:color w:val="555F70"/>
          <w:sz w:val="20"/>
        </w:rPr>
        <w:t xml:space="preserve">4.  </w:t>
      </w:r>
      <w:r>
        <w:rPr>
          <w:rFonts w:ascii="Consolas" w:hAnsi="Consolas"/>
          <w:color w:val="1B4060"/>
          <w:sz w:val="18"/>
        </w:rPr>
        <w:t>severity_from_edr_risk()</w:t>
      </w:r>
      <w:r>
        <w:rPr>
          <w:sz w:val="20"/>
        </w:rPr>
        <w:t xml:space="preserve"> — score 0–999 → classe, par points de coupure.</w:t>
      </w:r>
    </w:p>
    <w:p>
      <w:pPr>
        <w:spacing w:after="40"/>
        <w:ind w:left="640" w:hanging="360"/>
      </w:pPr>
      <w:r>
        <w:rPr>
          <w:color w:val="555F70"/>
          <w:sz w:val="20"/>
        </w:rPr>
        <w:t xml:space="preserve">5.  </w:t>
      </w:r>
      <w:r>
        <w:rPr>
          <w:rFonts w:ascii="Consolas" w:hAnsi="Consolas"/>
          <w:color w:val="1B4060"/>
          <w:sz w:val="18"/>
        </w:rPr>
        <w:t>merge_feeds()</w:t>
      </w:r>
      <w:r>
        <w:rPr>
          <w:sz w:val="20"/>
        </w:rPr>
        <w:t xml:space="preserve"> — </w:t>
      </w:r>
      <w:r>
        <w:rPr>
          <w:b/>
          <w:sz w:val="20"/>
        </w:rPr>
        <w:t>dédoublonne</w:t>
      </w:r>
      <w:r>
        <w:rPr>
          <w:sz w:val="20"/>
        </w:rPr>
        <w:t xml:space="preserve"> sur l'union des deux flux et produit le </w:t>
      </w:r>
      <w:r>
        <w:rPr>
          <w:rFonts w:ascii="Consolas" w:hAnsi="Consolas"/>
          <w:color w:val="1B4060"/>
          <w:sz w:val="18"/>
        </w:rPr>
        <w:t>NormalizationReport</w:t>
      </w:r>
      <w:r>
        <w:rPr>
          <w:sz w:val="20"/>
        </w:rPr>
        <w:t>.</w:t>
      </w:r>
    </w:p>
    <w:p>
      <w:pPr>
        <w:spacing w:after="40"/>
        <w:ind w:left="640" w:hanging="360"/>
      </w:pPr>
      <w:r>
        <w:rPr>
          <w:color w:val="555F70"/>
          <w:sz w:val="20"/>
        </w:rPr>
        <w:t xml:space="preserve">6.  </w:t>
      </w:r>
      <w:r>
        <w:rPr>
          <w:rFonts w:ascii="Consolas" w:hAnsi="Consolas"/>
          <w:color w:val="1B4060"/>
          <w:sz w:val="18"/>
        </w:rPr>
        <w:t>observed_window()</w:t>
      </w:r>
      <w:r>
        <w:rPr>
          <w:sz w:val="20"/>
        </w:rPr>
        <w:t xml:space="preserve"> — déduit la fenêtre d'observation des événements eux-mêmes.</w:t>
      </w:r>
    </w:p>
    <w:p>
      <w:pPr>
        <w:spacing w:after="40"/>
        <w:ind w:left="640" w:hanging="360"/>
      </w:pPr>
      <w:r>
        <w:rPr>
          <w:color w:val="555F70"/>
          <w:sz w:val="20"/>
        </w:rPr>
        <w:t xml:space="preserve">7.  </w:t>
      </w:r>
      <w:r>
        <w:rPr>
          <w:rFonts w:ascii="Consolas" w:hAnsi="Consolas"/>
          <w:color w:val="1B4060"/>
          <w:sz w:val="18"/>
        </w:rPr>
        <w:t>summarize_telemetry()</w:t>
      </w:r>
      <w:r>
        <w:rPr>
          <w:sz w:val="20"/>
        </w:rPr>
        <w:t xml:space="preserve"> — agrège en buckets hebdomadaires, mix de sévérité, top techniques.</w:t>
      </w:r>
    </w:p>
    <w:p>
      <w:pPr>
        <w:pStyle w:val="Heading3"/>
        <w:keepNext/>
        <w:pageBreakBefore w:val="0"/>
        <w:spacing w:before="160" w:after="80"/>
      </w:pPr>
      <w:r>
        <w:rPr>
          <w:rFonts w:ascii="Calibri" w:hAnsi="Calibri"/>
          <w:b/>
          <w:color w:val="111827"/>
          <w:sz w:val="24"/>
        </w:rPr>
        <w:t>Les maths</w:t>
      </w:r>
    </w:p>
    <w:p>
      <w:pPr>
        <w:pStyle w:val="ListBullet"/>
        <w:spacing w:after="40"/>
        <w:ind w:left="360"/>
      </w:pPr>
      <w:r>
        <w:rPr>
          <w:b/>
          <w:sz w:val="20"/>
        </w:rPr>
        <w:t>Normalisation des sévérités.</w:t>
      </w:r>
      <w:r>
        <w:rPr>
          <w:sz w:val="20"/>
        </w:rPr>
        <w:t xml:space="preserve"> Le SIEM donne un libellé, l'EDR un score. Points de coupure EDR : </w:t>
      </w:r>
      <w:r>
        <w:rPr>
          <w:rFonts w:ascii="Consolas" w:hAnsi="Consolas"/>
          <w:color w:val="1B4060"/>
          <w:sz w:val="18"/>
        </w:rPr>
        <w:t>&lt; 50</w:t>
      </w:r>
      <w:r>
        <w:rPr>
          <w:sz w:val="20"/>
        </w:rPr>
        <w:t xml:space="preserve"> low, </w:t>
      </w:r>
      <w:r>
        <w:rPr>
          <w:rFonts w:ascii="Consolas" w:hAnsi="Consolas"/>
          <w:color w:val="1B4060"/>
          <w:sz w:val="18"/>
        </w:rPr>
        <w:t>50–69</w:t>
      </w:r>
      <w:r>
        <w:rPr>
          <w:sz w:val="20"/>
        </w:rPr>
        <w:t xml:space="preserve"> medium, </w:t>
      </w:r>
      <w:r>
        <w:rPr>
          <w:rFonts w:ascii="Consolas" w:hAnsi="Consolas"/>
          <w:color w:val="1B4060"/>
          <w:sz w:val="18"/>
        </w:rPr>
        <w:t>70–93</w:t>
      </w:r>
      <w:r>
        <w:rPr>
          <w:sz w:val="20"/>
        </w:rPr>
        <w:t xml:space="preserve"> high, </w:t>
      </w:r>
      <w:r>
        <w:rPr>
          <w:rFonts w:ascii="Consolas" w:hAnsi="Consolas"/>
          <w:color w:val="1B4060"/>
          <w:sz w:val="18"/>
        </w:rPr>
        <w:t>≥ 94</w:t>
      </w:r>
      <w:r>
        <w:rPr>
          <w:sz w:val="20"/>
        </w:rPr>
        <w:t xml:space="preserve"> critical. Score numérique associé à chaque classe : 0,25 / 0,5 / 0,75 / 1,0.</w:t>
      </w:r>
    </w:p>
    <w:p>
      <w:pPr>
        <w:pStyle w:val="ListBullet"/>
        <w:spacing w:after="40"/>
        <w:ind w:left="360"/>
      </w:pPr>
      <w:r>
        <w:rPr>
          <w:b/>
          <w:sz w:val="20"/>
        </w:rPr>
        <w:t>Clé de déduplication</w:t>
      </w:r>
      <w:r>
        <w:rPr>
          <w:sz w:val="20"/>
        </w:rPr>
        <w:t xml:space="preserve"> : le triplet </w:t>
      </w:r>
      <w:r>
        <w:rPr>
          <w:rFonts w:ascii="Consolas" w:hAnsi="Consolas"/>
          <w:color w:val="1B4060"/>
          <w:sz w:val="18"/>
        </w:rPr>
        <w:t>(asset_id, technique, observed_at)</w:t>
      </w:r>
      <w:r>
        <w:rPr>
          <w:sz w:val="20"/>
        </w:rPr>
        <w:t>. Deux rapports portant le même triplet décrivent le même événement réel.</w:t>
      </w:r>
    </w:p>
    <w:p>
      <w:pPr>
        <w:pStyle w:val="ListBullet"/>
        <w:spacing w:after="40"/>
        <w:ind w:left="360"/>
      </w:pPr>
      <w:r>
        <w:rPr>
          <w:b/>
          <w:sz w:val="20"/>
        </w:rPr>
        <w:t>Dédoublonnage sur l'union, pas par jointure.</w:t>
      </w:r>
      <w:r>
        <w:rPr>
          <w:sz w:val="20"/>
        </w:rPr>
        <w:t xml:space="preserve"> Chaque flux répète déjà des clés en interne (761 fois côté SIEM, 543 côté EDR) ; une jointure interne multiplierait ces doublons et renverrait 13 055 lignes au lieu des 12 343 vrais recoupements.</w:t>
      </w:r>
    </w:p>
    <w:p>
      <w:pPr>
        <w:pStyle w:val="ListBullet"/>
        <w:spacing w:after="40"/>
        <w:ind w:left="360"/>
      </w:pPr>
      <w:r>
        <w:rPr>
          <w:b/>
          <w:sz w:val="20"/>
        </w:rPr>
        <w:t>Règle de fusion : la pire sévérité gagne.</w:t>
      </w:r>
      <w:r>
        <w:rPr>
          <w:sz w:val="20"/>
        </w:rPr>
        <w:t xml:space="preserve"> Si l'EDR voit critical et le SIEM medium, on garde critical — l'outil le plus proche du poste a vu quelque chose. Prendre la moyenne diluerait un signal fort.</w:t>
      </w:r>
    </w:p>
    <w:p>
      <w:pPr>
        <w:pStyle w:val="ListBullet"/>
        <w:spacing w:after="40"/>
        <w:ind w:left="360"/>
      </w:pPr>
      <w:r>
        <w:rPr>
          <w:b/>
          <w:sz w:val="20"/>
        </w:rPr>
        <w:t>Facteur d'annualisation</w:t>
      </w:r>
      <w:r>
        <w:rPr>
          <w:sz w:val="20"/>
        </w:rPr>
        <w:t xml:space="preserve"> = 365 / jours observés = 365 / 212 = </w:t>
      </w:r>
      <w:r>
        <w:rPr>
          <w:b/>
          <w:sz w:val="20"/>
        </w:rPr>
        <w:t>1,7217</w:t>
      </w:r>
      <w:r>
        <w:rPr>
          <w:sz w:val="20"/>
        </w:rPr>
        <w:t xml:space="preserve"> (1ᵉʳ nov. 2025 → 31 mai 2026). Recalculé depuis les données, jamais écrit en dur.</w:t>
      </w:r>
    </w:p>
    <w:p>
      <w:pPr>
        <w:pStyle w:val="Heading3"/>
        <w:keepNext/>
        <w:pageBreakBefore w:val="0"/>
        <w:spacing w:before="160" w:after="80"/>
      </w:pPr>
      <w:r>
        <w:rPr>
          <w:rFonts w:ascii="Calibri" w:hAnsi="Calibri"/>
          <w:b/>
          <w:color w:val="111827"/>
          <w:sz w:val="24"/>
        </w:rPr>
        <w:t>Chiffres produits</w:t>
      </w:r>
    </w:p>
    <w:tbl>
      <w:tblPr>
        <w:tblStyle w:val="LightGrid-Accent1"/>
        <w:tblW w:type="auto" w:w="0"/>
        <w:jc w:val="left"/>
        <w:tblLook w:firstColumn="1" w:firstRow="1" w:lastColumn="0" w:lastRow="0" w:noHBand="0" w:noVBand="1" w:val="04A0"/>
      </w:tblPr>
      <w:tblGrid>
        <w:gridCol w:w="3360"/>
        <w:gridCol w:w="3360"/>
        <w:gridCol w:w="3360"/>
      </w:tblGrid>
      <w:tr>
        <w:tc>
          <w:tcPr>
            <w:tcW w:type="dxa" w:w="3360"/>
          </w:tcPr>
          <w:p>
            <w:r/>
            <w:r>
              <w:rPr>
                <w:b/>
                <w:sz w:val="18"/>
              </w:rPr>
              <w:t>Grandeur</w:t>
            </w:r>
          </w:p>
        </w:tc>
        <w:tc>
          <w:tcPr>
            <w:tcW w:type="dxa" w:w="3360"/>
          </w:tcPr>
          <w:p>
            <w:r/>
            <w:r>
              <w:rPr>
                <w:b/>
                <w:sz w:val="18"/>
              </w:rPr>
              <w:t>Valeur</w:t>
            </w:r>
          </w:p>
        </w:tc>
        <w:tc>
          <w:tcPr>
            <w:tcW w:type="dxa" w:w="3360"/>
          </w:tcPr>
          <w:p>
            <w:r/>
            <w:r>
              <w:rPr>
                <w:b/>
                <w:sz w:val="18"/>
              </w:rPr>
              <w:t>D'où elle vient</w:t>
            </w:r>
          </w:p>
        </w:tc>
      </w:tr>
      <w:tr>
        <w:tc>
          <w:tcPr>
            <w:tcW w:type="dxa" w:w="3360"/>
          </w:tcPr>
          <w:p>
            <w:r>
              <w:rPr>
                <w:sz w:val="18"/>
              </w:rPr>
            </w:r>
            <w:r>
              <w:rPr>
                <w:sz w:val="18"/>
              </w:rPr>
              <w:t>Lignes brutes</w:t>
            </w:r>
          </w:p>
        </w:tc>
        <w:tc>
          <w:tcPr>
            <w:tcW w:type="dxa" w:w="3360"/>
          </w:tcPr>
          <w:p>
            <w:r>
              <w:rPr>
                <w:sz w:val="18"/>
              </w:rPr>
            </w:r>
            <w:r>
              <w:rPr>
                <w:sz w:val="18"/>
              </w:rPr>
              <w:t>45 840</w:t>
            </w:r>
          </w:p>
        </w:tc>
        <w:tc>
          <w:tcPr>
            <w:tcW w:type="dxa" w:w="3360"/>
          </w:tcPr>
          <w:p>
            <w:r>
              <w:rPr>
                <w:sz w:val="18"/>
              </w:rPr>
            </w:r>
            <w:r>
              <w:rPr>
                <w:sz w:val="18"/>
              </w:rPr>
              <w:t>somme des deux exports</w:t>
            </w:r>
          </w:p>
        </w:tc>
      </w:tr>
      <w:tr>
        <w:tc>
          <w:tcPr>
            <w:tcW w:type="dxa" w:w="3360"/>
          </w:tcPr>
          <w:p>
            <w:r>
              <w:rPr>
                <w:sz w:val="18"/>
              </w:rPr>
            </w:r>
            <w:r>
              <w:rPr>
                <w:sz w:val="18"/>
              </w:rPr>
              <w:t>Événements distincts</w:t>
            </w:r>
          </w:p>
        </w:tc>
        <w:tc>
          <w:tcPr>
            <w:tcW w:type="dxa" w:w="3360"/>
          </w:tcPr>
          <w:p>
            <w:r>
              <w:rPr>
                <w:sz w:val="18"/>
              </w:rPr>
            </w:r>
            <w:r>
              <w:rPr>
                <w:sz w:val="18"/>
              </w:rPr>
              <w:t>32 193</w:t>
            </w:r>
          </w:p>
        </w:tc>
        <w:tc>
          <w:tcPr>
            <w:tcW w:type="dxa" w:w="3360"/>
          </w:tcPr>
          <w:p>
            <w:r>
              <w:rPr>
                <w:sz w:val="18"/>
              </w:rPr>
            </w:r>
            <w:r>
              <w:rPr>
                <w:sz w:val="18"/>
              </w:rPr>
              <w:t>après déduplication</w:t>
            </w:r>
          </w:p>
        </w:tc>
      </w:tr>
      <w:tr>
        <w:tc>
          <w:tcPr>
            <w:tcW w:type="dxa" w:w="3360"/>
          </w:tcPr>
          <w:p>
            <w:r>
              <w:rPr>
                <w:sz w:val="18"/>
              </w:rPr>
            </w:r>
            <w:r>
              <w:rPr>
                <w:sz w:val="18"/>
              </w:rPr>
              <w:t>Doublons absorbés</w:t>
            </w:r>
          </w:p>
        </w:tc>
        <w:tc>
          <w:tcPr>
            <w:tcW w:type="dxa" w:w="3360"/>
          </w:tcPr>
          <w:p>
            <w:r>
              <w:rPr>
                <w:sz w:val="18"/>
              </w:rPr>
            </w:r>
            <w:r>
              <w:rPr>
                <w:sz w:val="18"/>
              </w:rPr>
              <w:t>13 647</w:t>
            </w:r>
          </w:p>
        </w:tc>
        <w:tc>
          <w:tcPr>
            <w:tcW w:type="dxa" w:w="3360"/>
          </w:tcPr>
          <w:p>
            <w:r>
              <w:rPr>
                <w:sz w:val="18"/>
              </w:rPr>
            </w:r>
            <w:r>
              <w:rPr>
                <w:sz w:val="18"/>
              </w:rPr>
              <w:t>dont 12 343 inter-flux</w:t>
            </w:r>
          </w:p>
        </w:tc>
      </w:tr>
      <w:tr>
        <w:tc>
          <w:tcPr>
            <w:tcW w:type="dxa" w:w="3360"/>
          </w:tcPr>
          <w:p>
            <w:r>
              <w:rPr>
                <w:sz w:val="18"/>
              </w:rPr>
            </w:r>
            <w:r>
              <w:rPr>
                <w:sz w:val="18"/>
              </w:rPr>
              <w:t>Inflation évitée</w:t>
            </w:r>
          </w:p>
        </w:tc>
        <w:tc>
          <w:tcPr>
            <w:tcW w:type="dxa" w:w="3360"/>
          </w:tcPr>
          <w:p>
            <w:r>
              <w:rPr>
                <w:sz w:val="18"/>
              </w:rPr>
            </w:r>
            <w:r>
              <w:rPr>
                <w:sz w:val="18"/>
              </w:rPr>
              <w:t>42,4 %</w:t>
            </w:r>
          </w:p>
        </w:tc>
        <w:tc>
          <w:tcPr>
            <w:tcW w:type="dxa" w:w="3360"/>
          </w:tcPr>
          <w:p>
            <w:r>
              <w:rPr>
                <w:sz w:val="18"/>
              </w:rPr>
            </w:r>
            <w:r>
              <w:rPr>
                <w:sz w:val="18"/>
              </w:rPr>
              <w:t>ce qu'une concaténation naïve aurait ajouté</w:t>
            </w:r>
          </w:p>
        </w:tc>
      </w:tr>
    </w:tbl>
    <w:p>
      <w:pPr>
        <w:spacing w:after="40"/>
      </w:pPr>
    </w:p>
    <w:p>
      <w:pPr>
        <w:spacing w:before="80" w:after="200"/>
        <w:ind w:left="240"/>
      </w:pPr>
      <w:r>
        <w:rPr>
          <w:b/>
          <w:color w:val="0B63A6"/>
          <w:sz w:val="17"/>
        </w:rPr>
        <w:t xml:space="preserve">À DIRE  </w:t>
      </w:r>
      <w:r>
        <w:rPr>
          <w:i/>
          <w:sz w:val="20"/>
        </w:rPr>
        <w:t>Les deux outils ne sont pas complémentaires, ils sont partiellement redondants : 12 343 événements portent le même actif, la même technique et le même horodatage des deux côtés. Je dédoublonne sur ce triplet en gardant la pire sévérité, ce qui évite 42,4 % d'inflation sur toutes les fréquences en aval.</w:t>
      </w:r>
    </w:p>
    <w:p>
      <w:pPr>
        <w:pStyle w:val="Heading2"/>
        <w:keepNext/>
        <w:pageBreakBefore/>
        <w:spacing w:before="240" w:after="80"/>
      </w:pPr>
      <w:r>
        <w:rPr>
          <w:rFonts w:ascii="Calibri" w:hAnsi="Calibri"/>
          <w:b/>
          <w:color w:val="0B63A6"/>
          <w:sz w:val="30"/>
        </w:rPr>
        <w:t>2. Frequency — à quelle fréquence on est attaqué</w:t>
      </w:r>
    </w:p>
    <w:p>
      <w:pPr>
        <w:pStyle w:val="Heading3"/>
        <w:keepNext/>
        <w:pageBreakBefore w:val="0"/>
        <w:spacing w:before="160" w:after="80"/>
      </w:pPr>
      <w:r>
        <w:rPr>
          <w:rFonts w:ascii="Calibri" w:hAnsi="Calibri"/>
          <w:b/>
          <w:color w:val="111827"/>
          <w:sz w:val="24"/>
        </w:rPr>
        <w:t>Endpoint et paramètres</w:t>
      </w:r>
    </w:p>
    <w:p>
      <w:pPr>
        <w:spacing w:before="60" w:after="120"/>
        <w:ind w:left="280"/>
      </w:pPr>
      <w:r>
        <w:rPr>
          <w:rFonts w:ascii="Consolas" w:hAnsi="Consolas"/>
          <w:color w:val="1B4060"/>
          <w:sz w:val="18"/>
        </w:rPr>
        <w:t>GET /api/frequency/?severity_threshold=high&amp;session_window_hours=24</w:t>
      </w:r>
      <w:r>
        <w:rPr>
          <w:rFonts w:ascii="Consolas" w:hAnsi="Consolas"/>
          <w:color w:val="1B4060"/>
          <w:sz w:val="18"/>
        </w:rPr>
        <w:br/>
        <w:t>GET /api/assets/?severity_threshold=high&amp;session_window_hours=24</w:t>
      </w:r>
    </w:p>
    <w:tbl>
      <w:tblPr>
        <w:tblStyle w:val="LightGrid-Accent1"/>
        <w:tblW w:type="auto" w:w="0"/>
        <w:jc w:val="left"/>
        <w:tblLook w:firstColumn="1" w:firstRow="1" w:lastColumn="0" w:lastRow="0" w:noHBand="0" w:noVBand="1" w:val="04A0"/>
      </w:tblPr>
      <w:tblGrid>
        <w:gridCol w:w="3360"/>
        <w:gridCol w:w="3360"/>
        <w:gridCol w:w="3360"/>
      </w:tblGrid>
      <w:tr>
        <w:tc>
          <w:tcPr>
            <w:tcW w:type="dxa" w:w="3360"/>
          </w:tcPr>
          <w:p>
            <w:r/>
            <w:r>
              <w:rPr>
                <w:b/>
                <w:sz w:val="18"/>
              </w:rPr>
              <w:t>Paramètre</w:t>
            </w:r>
          </w:p>
        </w:tc>
        <w:tc>
          <w:tcPr>
            <w:tcW w:type="dxa" w:w="3360"/>
          </w:tcPr>
          <w:p>
            <w:r/>
            <w:r>
              <w:rPr>
                <w:b/>
                <w:sz w:val="18"/>
              </w:rPr>
              <w:t>Défaut</w:t>
            </w:r>
          </w:p>
        </w:tc>
        <w:tc>
          <w:tcPr>
            <w:tcW w:type="dxa" w:w="3360"/>
          </w:tcPr>
          <w:p>
            <w:r/>
            <w:r>
              <w:rPr>
                <w:b/>
                <w:sz w:val="18"/>
              </w:rPr>
              <w:t>Effet</w:t>
            </w:r>
          </w:p>
        </w:tc>
      </w:tr>
      <w:tr>
        <w:tc>
          <w:tcPr>
            <w:tcW w:type="dxa" w:w="3360"/>
          </w:tcPr>
          <w:p>
            <w:r>
              <w:rPr>
                <w:sz w:val="18"/>
              </w:rPr>
            </w:r>
            <w:r>
              <w:rPr>
                <w:rFonts w:ascii="Consolas" w:hAnsi="Consolas"/>
                <w:color w:val="1B4060"/>
                <w:sz w:val="18"/>
              </w:rPr>
              <w:t>severity_threshold</w:t>
            </w:r>
          </w:p>
        </w:tc>
        <w:tc>
          <w:tcPr>
            <w:tcW w:type="dxa" w:w="3360"/>
          </w:tcPr>
          <w:p>
            <w:r>
              <w:rPr>
                <w:sz w:val="18"/>
              </w:rPr>
            </w:r>
            <w:r>
              <w:rPr>
                <w:rFonts w:ascii="Consolas" w:hAnsi="Consolas"/>
                <w:color w:val="1B4060"/>
                <w:sz w:val="18"/>
              </w:rPr>
              <w:t>high</w:t>
            </w:r>
          </w:p>
        </w:tc>
        <w:tc>
          <w:tcPr>
            <w:tcW w:type="dxa" w:w="3360"/>
          </w:tcPr>
          <w:p>
            <w:r>
              <w:rPr>
                <w:sz w:val="18"/>
              </w:rPr>
            </w:r>
            <w:r>
              <w:rPr>
                <w:sz w:val="18"/>
              </w:rPr>
              <w:t>sévérité minimale pour compter comme attaque</w:t>
            </w:r>
          </w:p>
        </w:tc>
      </w:tr>
      <w:tr>
        <w:tc>
          <w:tcPr>
            <w:tcW w:type="dxa" w:w="3360"/>
          </w:tcPr>
          <w:p>
            <w:r>
              <w:rPr>
                <w:sz w:val="18"/>
              </w:rPr>
            </w:r>
            <w:r>
              <w:rPr>
                <w:rFonts w:ascii="Consolas" w:hAnsi="Consolas"/>
                <w:color w:val="1B4060"/>
                <w:sz w:val="18"/>
              </w:rPr>
              <w:t>session_window_hours</w:t>
            </w:r>
          </w:p>
        </w:tc>
        <w:tc>
          <w:tcPr>
            <w:tcW w:type="dxa" w:w="3360"/>
          </w:tcPr>
          <w:p>
            <w:r>
              <w:rPr>
                <w:sz w:val="18"/>
              </w:rPr>
            </w:r>
            <w:r>
              <w:rPr>
                <w:rFonts w:ascii="Consolas" w:hAnsi="Consolas"/>
                <w:color w:val="1B4060"/>
                <w:sz w:val="18"/>
              </w:rPr>
              <w:t>24</w:t>
            </w:r>
          </w:p>
        </w:tc>
        <w:tc>
          <w:tcPr>
            <w:tcW w:type="dxa" w:w="3360"/>
          </w:tcPr>
          <w:p>
            <w:r>
              <w:rPr>
                <w:sz w:val="18"/>
              </w:rPr>
            </w:r>
            <w:r>
              <w:rPr>
                <w:sz w:val="18"/>
              </w:rPr>
              <w:t>silence qui ouvre un nouvel épisode</w:t>
            </w:r>
          </w:p>
        </w:tc>
      </w:tr>
    </w:tbl>
    <w:p>
      <w:pPr>
        <w:spacing w:after="40"/>
      </w:pPr>
    </w:p>
    <w:p>
      <w:r>
        <w:rPr>
          <w:i/>
          <w:color w:val="555F70"/>
          <w:sz w:val="19"/>
        </w:rPr>
        <w:t>Ces deux paramètres sont des conventions, pas des mesures. Ils sont exposés comme curseurs dans l'interface plutôt que cachés dans le code.</w:t>
      </w:r>
    </w:p>
    <w:p>
      <w:pPr>
        <w:pStyle w:val="Heading3"/>
        <w:keepNext/>
        <w:pageBreakBefore w:val="0"/>
        <w:spacing w:before="160" w:after="80"/>
      </w:pPr>
      <w:r>
        <w:rPr>
          <w:rFonts w:ascii="Calibri" w:hAnsi="Calibri"/>
          <w:b/>
          <w:color w:val="111827"/>
          <w:sz w:val="24"/>
        </w:rPr>
        <w:t>Chaîne de fonctions</w:t>
      </w:r>
    </w:p>
    <w:p>
      <w:pPr>
        <w:spacing w:after="40"/>
        <w:ind w:left="640" w:hanging="360"/>
      </w:pPr>
      <w:r>
        <w:rPr>
          <w:color w:val="555F70"/>
          <w:sz w:val="20"/>
        </w:rPr>
        <w:t xml:space="preserve">1.  </w:t>
      </w:r>
      <w:r>
        <w:rPr>
          <w:rFonts w:ascii="Consolas" w:hAnsi="Consolas"/>
          <w:color w:val="1B4060"/>
          <w:sz w:val="18"/>
        </w:rPr>
        <w:t>get_frequency(seuil, fenêtre)</w:t>
      </w:r>
      <w:r>
        <w:rPr>
          <w:sz w:val="20"/>
        </w:rPr>
        <w:t xml:space="preserve"> — mémoïsé par couple de paramètres.</w:t>
      </w:r>
    </w:p>
    <w:p>
      <w:pPr>
        <w:spacing w:after="40"/>
        <w:ind w:left="640" w:hanging="360"/>
      </w:pPr>
      <w:r>
        <w:rPr>
          <w:color w:val="555F70"/>
          <w:sz w:val="20"/>
        </w:rPr>
        <w:t xml:space="preserve">2.  </w:t>
      </w:r>
      <w:r>
        <w:rPr>
          <w:rFonts w:ascii="Consolas" w:hAnsi="Consolas"/>
          <w:color w:val="1B4060"/>
          <w:sz w:val="18"/>
        </w:rPr>
        <w:t>estimate_frequency()</w:t>
      </w:r>
      <w:r>
        <w:rPr>
          <w:sz w:val="20"/>
        </w:rPr>
        <w:t xml:space="preserve"> — orchestre les quatre étapes ci-dessous.</w:t>
      </w:r>
    </w:p>
    <w:p>
      <w:pPr>
        <w:spacing w:after="40"/>
        <w:ind w:left="640" w:hanging="360"/>
      </w:pPr>
      <w:r>
        <w:rPr>
          <w:color w:val="555F70"/>
          <w:sz w:val="20"/>
        </w:rPr>
        <w:t xml:space="preserve">3.  </w:t>
      </w:r>
      <w:r>
        <w:rPr>
          <w:rFonts w:ascii="Consolas" w:hAnsi="Consolas"/>
          <w:color w:val="1B4060"/>
          <w:sz w:val="18"/>
        </w:rPr>
        <w:t>is_attack_grade(event, seuil)</w:t>
      </w:r>
      <w:r>
        <w:rPr>
          <w:sz w:val="20"/>
        </w:rPr>
        <w:t xml:space="preserve"> — filtre : ne garde que high et au-delà.</w:t>
      </w:r>
    </w:p>
    <w:p>
      <w:pPr>
        <w:spacing w:after="40"/>
        <w:ind w:left="640" w:hanging="360"/>
      </w:pPr>
      <w:r>
        <w:rPr>
          <w:color w:val="555F70"/>
          <w:sz w:val="20"/>
        </w:rPr>
        <w:t xml:space="preserve">4.  </w:t>
      </w:r>
      <w:r>
        <w:rPr>
          <w:rFonts w:ascii="Consolas" w:hAnsi="Consolas"/>
          <w:color w:val="1B4060"/>
          <w:sz w:val="18"/>
        </w:rPr>
        <w:t>sessionize(events, params)</w:t>
      </w:r>
      <w:r>
        <w:rPr>
          <w:sz w:val="20"/>
        </w:rPr>
        <w:t xml:space="preserve"> — regroupe les événements en </w:t>
      </w:r>
      <w:r>
        <w:rPr>
          <w:b/>
          <w:sz w:val="20"/>
        </w:rPr>
        <w:t>épisodes</w:t>
      </w:r>
      <w:r>
        <w:rPr>
          <w:sz w:val="20"/>
        </w:rPr>
        <w:t>.</w:t>
      </w:r>
    </w:p>
    <w:p>
      <w:pPr>
        <w:spacing w:after="40"/>
        <w:ind w:left="640" w:hanging="360"/>
      </w:pPr>
      <w:r>
        <w:rPr>
          <w:color w:val="555F70"/>
          <w:sz w:val="20"/>
        </w:rPr>
        <w:t xml:space="preserve">5.  </w:t>
      </w:r>
      <w:r>
        <w:rPr>
          <w:rFonts w:ascii="Consolas" w:hAnsi="Consolas"/>
          <w:color w:val="1B4060"/>
          <w:sz w:val="18"/>
        </w:rPr>
        <w:t>attack_type_for(technique)</w:t>
      </w:r>
      <w:r>
        <w:rPr>
          <w:sz w:val="20"/>
        </w:rPr>
        <w:t xml:space="preserve"> — classe chaque technique MITRE en type d'attaque via un dictionnaire explicite ; l'épisode hérite du type de son événement le plus grave.</w:t>
      </w:r>
    </w:p>
    <w:p>
      <w:pPr>
        <w:spacing w:after="40"/>
        <w:ind w:left="640" w:hanging="360"/>
      </w:pPr>
      <w:r>
        <w:rPr>
          <w:color w:val="555F70"/>
          <w:sz w:val="20"/>
        </w:rPr>
        <w:t xml:space="preserve">6.  </w:t>
      </w:r>
      <w:r>
        <w:rPr>
          <w:rFonts w:ascii="Consolas" w:hAnsi="Consolas"/>
          <w:color w:val="1B4060"/>
          <w:sz w:val="18"/>
        </w:rPr>
        <w:t>peer_weighted_base_rate(incidents, params)</w:t>
      </w:r>
      <w:r>
        <w:rPr>
          <w:sz w:val="20"/>
        </w:rPr>
        <w:t xml:space="preserve"> — taux d'incidents par organisation-année chez les pairs.</w:t>
      </w:r>
    </w:p>
    <w:p>
      <w:pPr>
        <w:spacing w:after="40"/>
        <w:ind w:left="640" w:hanging="360"/>
      </w:pPr>
      <w:r>
        <w:rPr>
          <w:color w:val="555F70"/>
          <w:sz w:val="20"/>
        </w:rPr>
        <w:t xml:space="preserve">7.  </w:t>
      </w:r>
      <w:r>
        <w:rPr>
          <w:rFonts w:ascii="Consolas" w:hAnsi="Consolas"/>
          <w:color w:val="1B4060"/>
          <w:sz w:val="18"/>
        </w:rPr>
        <w:t>calibrate(lambda_detected, base_rate)</w:t>
      </w:r>
      <w:r>
        <w:rPr>
          <w:sz w:val="20"/>
        </w:rPr>
        <w:t xml:space="preserve"> — ajuste </w:t>
      </w:r>
      <w:r>
        <w:rPr>
          <w:rFonts w:ascii="Consolas" w:hAnsi="Consolas"/>
          <w:color w:val="1B4060"/>
          <w:sz w:val="18"/>
        </w:rPr>
        <w:t>p_materialize</w:t>
      </w:r>
      <w:r>
        <w:rPr>
          <w:sz w:val="20"/>
        </w:rPr>
        <w:t xml:space="preserve"> pour raccorder les deux unités.</w:t>
      </w:r>
    </w:p>
    <w:p>
      <w:pPr>
        <w:pStyle w:val="Heading3"/>
        <w:keepNext/>
        <w:pageBreakBefore w:val="0"/>
        <w:spacing w:before="160" w:after="80"/>
      </w:pPr>
      <w:r>
        <w:rPr>
          <w:rFonts w:ascii="Calibri" w:hAnsi="Calibri"/>
          <w:b/>
          <w:color w:val="111827"/>
          <w:sz w:val="24"/>
        </w:rPr>
        <w:t>Les maths</w:t>
      </w:r>
    </w:p>
    <w:p>
      <w:pPr>
        <w:pStyle w:val="ListBullet"/>
        <w:spacing w:after="40"/>
        <w:ind w:left="360"/>
      </w:pPr>
      <w:r>
        <w:rPr>
          <w:b/>
          <w:sz w:val="20"/>
        </w:rPr>
        <w:t>Règle d'épisode.</w:t>
      </w:r>
      <w:r>
        <w:rPr>
          <w:sz w:val="20"/>
        </w:rPr>
        <w:t xml:space="preserve"> Groupement par </w:t>
      </w:r>
      <w:r>
        <w:rPr>
          <w:b/>
          <w:sz w:val="20"/>
        </w:rPr>
        <w:t>actif seul</w:t>
      </w:r>
      <w:r>
        <w:rPr>
          <w:sz w:val="20"/>
        </w:rPr>
        <w:t xml:space="preserve"> — un intrus déclenche les détections qu'il rencontre, et compter chaque type séparément recompterait la même intrusion sous plusieurs noms. On coupe dès qu'un silence dépasse la fenêtre, mesuré par rapport à l'événement </w:t>
      </w:r>
      <w:r>
        <w:rPr>
          <w:b/>
          <w:sz w:val="20"/>
        </w:rPr>
        <w:t>précédent</w:t>
      </w:r>
      <w:r>
        <w:rPr>
          <w:sz w:val="20"/>
        </w:rPr>
        <w:t xml:space="preserve"> et non au premier, sinon une intrusion de trois jours serait découpée artificiellement.</w:t>
      </w:r>
    </w:p>
    <w:p>
      <w:pPr>
        <w:pStyle w:val="ListBullet"/>
        <w:spacing w:after="40"/>
        <w:ind w:left="360"/>
      </w:pPr>
      <w:r>
        <w:rPr>
          <w:b/>
          <w:sz w:val="20"/>
        </w:rPr>
        <w:t>λ détecté</w:t>
      </w:r>
      <w:r>
        <w:rPr>
          <w:sz w:val="20"/>
        </w:rPr>
        <w:t xml:space="preserve"> = épisodes × 365 / jours observés = 911 × 1,7217 = </w:t>
      </w:r>
      <w:r>
        <w:rPr>
          <w:b/>
          <w:sz w:val="20"/>
        </w:rPr>
        <w:t>1 568 / an</w:t>
      </w:r>
      <w:r>
        <w:rPr>
          <w:sz w:val="20"/>
        </w:rPr>
        <w:t>.</w:t>
      </w:r>
    </w:p>
    <w:p>
      <w:pPr>
        <w:pStyle w:val="ListBullet"/>
        <w:spacing w:after="40"/>
        <w:ind w:left="360"/>
      </w:pPr>
      <w:r>
        <w:rPr>
          <w:b/>
          <w:sz w:val="20"/>
        </w:rPr>
        <w:t>Taux de base des pairs</w:t>
      </w:r>
      <w:r>
        <w:rPr>
          <w:sz w:val="20"/>
        </w:rPr>
        <w:t xml:space="preserve"> = incidents pondérés ÷ organisations-années pondérées. Numérateur </w:t>
      </w:r>
      <w:r>
        <w:rPr>
          <w:i/>
          <w:sz w:val="20"/>
        </w:rPr>
        <w:t>et</w:t>
      </w:r>
      <w:r>
        <w:rPr>
          <w:sz w:val="20"/>
        </w:rPr>
        <w:t xml:space="preserve"> dénominateur portent le même noyau de similarité, un enregistrement par </w:t>
      </w:r>
      <w:r>
        <w:rPr>
          <w:rFonts w:ascii="Consolas" w:hAnsi="Consolas"/>
          <w:color w:val="1B4060"/>
          <w:sz w:val="18"/>
        </w:rPr>
        <w:t>company_id</w:t>
      </w:r>
      <w:r>
        <w:rPr>
          <w:sz w:val="20"/>
        </w:rPr>
        <w:t xml:space="preserve"> — soit </w:t>
      </w:r>
      <w:r>
        <w:rPr>
          <w:b/>
          <w:sz w:val="20"/>
        </w:rPr>
        <w:t>1 310 organisations</w:t>
      </w:r>
      <w:r>
        <w:rPr>
          <w:sz w:val="20"/>
        </w:rPr>
        <w:t>.</w:t>
      </w:r>
    </w:p>
    <w:p>
      <w:pPr>
        <w:pStyle w:val="ListBullet"/>
        <w:spacing w:after="40"/>
        <w:ind w:left="360"/>
      </w:pPr>
      <w:r>
        <w:rPr>
          <w:b/>
          <w:sz w:val="20"/>
        </w:rPr>
        <w:t>Le changement d'unité, le point clé.</w:t>
      </w:r>
      <w:r>
        <w:rPr>
          <w:sz w:val="20"/>
        </w:rPr>
        <w:t xml:space="preserve"> La télémétrie compte des attaques </w:t>
      </w:r>
      <w:r>
        <w:rPr>
          <w:i/>
          <w:sz w:val="20"/>
        </w:rPr>
        <w:t>détectées</w:t>
      </w:r>
      <w:r>
        <w:rPr>
          <w:sz w:val="20"/>
        </w:rPr>
        <w:t xml:space="preserve">, la base externe des incidents </w:t>
      </w:r>
      <w:r>
        <w:rPr>
          <w:i/>
          <w:sz w:val="20"/>
        </w:rPr>
        <w:t>à perte</w:t>
      </w:r>
      <w:r>
        <w:rPr>
          <w:sz w:val="20"/>
        </w:rPr>
        <w:t>. Ce sont deux unités différentes.</w:t>
      </w:r>
    </w:p>
    <w:p>
      <w:pPr>
        <w:pStyle w:val="ListBullet"/>
        <w:spacing w:after="40"/>
        <w:ind w:left="360"/>
      </w:pPr>
      <w:r>
        <w:rPr>
          <w:b/>
          <w:sz w:val="20"/>
        </w:rPr>
        <w:t>Calibration</w:t>
      </w:r>
      <w:r>
        <w:rPr>
          <w:sz w:val="20"/>
        </w:rPr>
        <w:t xml:space="preserve"> : </w:t>
      </w:r>
      <w:r>
        <w:rPr>
          <w:rFonts w:ascii="Consolas" w:hAnsi="Consolas"/>
          <w:color w:val="1B4060"/>
          <w:sz w:val="18"/>
        </w:rPr>
        <w:t>λ_incident = λ_détecté × p</w:t>
      </w:r>
      <w:r>
        <w:rPr>
          <w:sz w:val="20"/>
        </w:rPr>
        <w:t xml:space="preserve">, avec p fixé pour que λ_incident égale le taux des pairs. Ici p ≈ 1 détection sur </w:t>
      </w:r>
      <w:r>
        <w:rPr>
          <w:b/>
          <w:sz w:val="20"/>
        </w:rPr>
        <w:t>5 138</w:t>
      </w:r>
      <w:r>
        <w:rPr>
          <w:sz w:val="20"/>
        </w:rPr>
        <w:t xml:space="preserve">, soit λ_incident = </w:t>
      </w:r>
      <w:r>
        <w:rPr>
          <w:b/>
          <w:sz w:val="20"/>
        </w:rPr>
        <w:t>0,31 / an</w:t>
      </w:r>
      <w:r>
        <w:rPr>
          <w:sz w:val="20"/>
        </w:rPr>
        <w:t>.</w:t>
      </w:r>
    </w:p>
    <w:p>
      <w:pPr>
        <w:pStyle w:val="ListBullet"/>
        <w:spacing w:after="40"/>
        <w:ind w:left="360"/>
      </w:pPr>
      <w:r>
        <w:rPr>
          <w:b/>
          <w:sz w:val="20"/>
        </w:rPr>
        <w:t>Le mix vient de la télémétrie, le niveau de la base.</w:t>
      </w:r>
      <w:r>
        <w:rPr>
          <w:sz w:val="20"/>
        </w:rPr>
        <w:t xml:space="preserve"> Chaque type reçoit λ_incident × (ses épisodes / épisodes totaux).</w:t>
      </w:r>
    </w:p>
    <w:p>
      <w:pPr>
        <w:pStyle w:val="Heading3"/>
        <w:keepNext/>
        <w:pageBreakBefore w:val="0"/>
        <w:spacing w:before="160" w:after="80"/>
      </w:pPr>
      <w:r>
        <w:rPr>
          <w:rFonts w:ascii="Calibri" w:hAnsi="Calibri"/>
          <w:b/>
          <w:color w:val="111827"/>
          <w:sz w:val="24"/>
        </w:rPr>
        <w:t>Chiffres produits</w:t>
      </w:r>
    </w:p>
    <w:tbl>
      <w:tblPr>
        <w:tblStyle w:val="LightGrid-Accent1"/>
        <w:tblW w:type="auto" w:w="0"/>
        <w:jc w:val="left"/>
        <w:tblLook w:firstColumn="1" w:firstRow="1" w:lastColumn="0" w:lastRow="0" w:noHBand="0" w:noVBand="1" w:val="04A0"/>
      </w:tblPr>
      <w:tblGrid>
        <w:gridCol w:w="3360"/>
        <w:gridCol w:w="3360"/>
        <w:gridCol w:w="3360"/>
      </w:tblGrid>
      <w:tr>
        <w:tc>
          <w:tcPr>
            <w:tcW w:type="dxa" w:w="3360"/>
          </w:tcPr>
          <w:p>
            <w:r/>
            <w:r>
              <w:rPr>
                <w:b/>
                <w:sz w:val="18"/>
              </w:rPr>
              <w:t>Grandeur</w:t>
            </w:r>
          </w:p>
        </w:tc>
        <w:tc>
          <w:tcPr>
            <w:tcW w:type="dxa" w:w="3360"/>
          </w:tcPr>
          <w:p>
            <w:r/>
            <w:r>
              <w:rPr>
                <w:b/>
                <w:sz w:val="18"/>
              </w:rPr>
              <w:t>Valeur</w:t>
            </w:r>
          </w:p>
        </w:tc>
        <w:tc>
          <w:tcPr>
            <w:tcW w:type="dxa" w:w="3360"/>
          </w:tcPr>
          <w:p>
            <w:r/>
            <w:r>
              <w:rPr>
                <w:b/>
                <w:sz w:val="18"/>
              </w:rPr>
              <w:t>Calcul</w:t>
            </w:r>
          </w:p>
        </w:tc>
      </w:tr>
      <w:tr>
        <w:tc>
          <w:tcPr>
            <w:tcW w:type="dxa" w:w="3360"/>
          </w:tcPr>
          <w:p>
            <w:r>
              <w:rPr>
                <w:sz w:val="18"/>
              </w:rPr>
            </w:r>
            <w:r>
              <w:rPr>
                <w:sz w:val="18"/>
              </w:rPr>
              <w:t>Événements attack-grade</w:t>
            </w:r>
          </w:p>
        </w:tc>
        <w:tc>
          <w:tcPr>
            <w:tcW w:type="dxa" w:w="3360"/>
          </w:tcPr>
          <w:p>
            <w:r>
              <w:rPr>
                <w:sz w:val="18"/>
              </w:rPr>
            </w:r>
            <w:r>
              <w:rPr>
                <w:sz w:val="18"/>
              </w:rPr>
              <w:t>10 126</w:t>
            </w:r>
          </w:p>
        </w:tc>
        <w:tc>
          <w:tcPr>
            <w:tcW w:type="dxa" w:w="3360"/>
          </w:tcPr>
          <w:p>
            <w:r>
              <w:rPr>
                <w:sz w:val="18"/>
              </w:rPr>
            </w:r>
            <w:r>
              <w:rPr>
                <w:sz w:val="18"/>
              </w:rPr>
              <w:t>sévérité ≥ high</w:t>
            </w:r>
          </w:p>
        </w:tc>
      </w:tr>
      <w:tr>
        <w:tc>
          <w:tcPr>
            <w:tcW w:type="dxa" w:w="3360"/>
          </w:tcPr>
          <w:p>
            <w:r>
              <w:rPr>
                <w:sz w:val="18"/>
              </w:rPr>
            </w:r>
            <w:r>
              <w:rPr>
                <w:sz w:val="18"/>
              </w:rPr>
              <w:t>Épisodes</w:t>
            </w:r>
          </w:p>
        </w:tc>
        <w:tc>
          <w:tcPr>
            <w:tcW w:type="dxa" w:w="3360"/>
          </w:tcPr>
          <w:p>
            <w:r>
              <w:rPr>
                <w:sz w:val="18"/>
              </w:rPr>
            </w:r>
            <w:r>
              <w:rPr>
                <w:sz w:val="18"/>
              </w:rPr>
              <w:t>911</w:t>
            </w:r>
          </w:p>
        </w:tc>
        <w:tc>
          <w:tcPr>
            <w:tcW w:type="dxa" w:w="3360"/>
          </w:tcPr>
          <w:p>
            <w:r>
              <w:rPr>
                <w:sz w:val="18"/>
              </w:rPr>
            </w:r>
            <w:r>
              <w:rPr>
                <w:sz w:val="18"/>
              </w:rPr>
              <w:t>compression 11,1×</w:t>
            </w:r>
          </w:p>
        </w:tc>
      </w:tr>
      <w:tr>
        <w:tc>
          <w:tcPr>
            <w:tcW w:type="dxa" w:w="3360"/>
          </w:tcPr>
          <w:p>
            <w:r>
              <w:rPr>
                <w:sz w:val="18"/>
              </w:rPr>
            </w:r>
            <w:r>
              <w:rPr>
                <w:sz w:val="18"/>
              </w:rPr>
              <w:t>λ détecté</w:t>
            </w:r>
          </w:p>
        </w:tc>
        <w:tc>
          <w:tcPr>
            <w:tcW w:type="dxa" w:w="3360"/>
          </w:tcPr>
          <w:p>
            <w:r>
              <w:rPr>
                <w:sz w:val="18"/>
              </w:rPr>
            </w:r>
            <w:r>
              <w:rPr>
                <w:sz w:val="18"/>
              </w:rPr>
              <w:t>1 568 / an</w:t>
            </w:r>
          </w:p>
        </w:tc>
        <w:tc>
          <w:tcPr>
            <w:tcW w:type="dxa" w:w="3360"/>
          </w:tcPr>
          <w:p>
            <w:r>
              <w:rPr>
                <w:sz w:val="18"/>
              </w:rPr>
            </w:r>
            <w:r>
              <w:rPr>
                <w:sz w:val="18"/>
              </w:rPr>
              <w:t>épisodes × 365/212</w:t>
            </w:r>
          </w:p>
        </w:tc>
      </w:tr>
      <w:tr>
        <w:tc>
          <w:tcPr>
            <w:tcW w:type="dxa" w:w="3360"/>
          </w:tcPr>
          <w:p>
            <w:r>
              <w:rPr>
                <w:sz w:val="18"/>
              </w:rPr>
            </w:r>
            <w:r>
              <w:rPr>
                <w:sz w:val="18"/>
              </w:rPr>
              <w:t>λ incident</w:t>
            </w:r>
          </w:p>
        </w:tc>
        <w:tc>
          <w:tcPr>
            <w:tcW w:type="dxa" w:w="3360"/>
          </w:tcPr>
          <w:p>
            <w:r>
              <w:rPr>
                <w:sz w:val="18"/>
              </w:rPr>
            </w:r>
            <w:r>
              <w:rPr>
                <w:sz w:val="18"/>
              </w:rPr>
              <w:t>0,31 / an</w:t>
            </w:r>
          </w:p>
        </w:tc>
        <w:tc>
          <w:tcPr>
            <w:tcW w:type="dxa" w:w="3360"/>
          </w:tcPr>
          <w:p>
            <w:r>
              <w:rPr>
                <w:sz w:val="18"/>
              </w:rPr>
            </w:r>
            <w:r>
              <w:rPr>
                <w:sz w:val="18"/>
              </w:rPr>
              <w:t>λ détecté ÷ 5 138</w:t>
            </w:r>
          </w:p>
        </w:tc>
      </w:tr>
    </w:tbl>
    <w:p>
      <w:pPr>
        <w:spacing w:after="40"/>
      </w:pPr>
    </w:p>
    <w:p>
      <w:pPr>
        <w:spacing w:before="80" w:after="200"/>
        <w:ind w:left="240"/>
      </w:pPr>
      <w:r>
        <w:rPr>
          <w:b/>
          <w:color w:val="0B63A6"/>
          <w:sz w:val="17"/>
        </w:rPr>
        <w:t xml:space="preserve">À DIRE  </w:t>
      </w:r>
      <w:r>
        <w:rPr>
          <w:i/>
          <w:sz w:val="20"/>
        </w:rPr>
        <w:t>Une alerte n'est pas une attaque : une intrusion produit une rafale de détections. Je regroupe par actif avec une fenêtre de silence de 24 h, ce qui ramène 10 126 événements attack-grade à 911 épisodes, soit 1 568 attaques détectées par an. Mais la télémétrie compte des détections et la base externe des incidents à perte — deux unités différentes. Je les raccorde par une calibration : une détection sur 5 138 finit en perte, soit 0,31 incident par an ancré sur 1 310 organisations comparables.</w:t>
      </w:r>
    </w:p>
    <w:p>
      <w:pPr>
        <w:pStyle w:val="Heading2"/>
        <w:keepNext/>
        <w:pageBreakBefore/>
        <w:spacing w:before="240" w:after="80"/>
      </w:pPr>
      <w:r>
        <w:rPr>
          <w:rFonts w:ascii="Calibri" w:hAnsi="Calibri"/>
          <w:b/>
          <w:color w:val="0B63A6"/>
          <w:sz w:val="30"/>
        </w:rPr>
        <w:t>3. Severity — ce que coûte un incident</w:t>
      </w:r>
    </w:p>
    <w:p>
      <w:pPr>
        <w:pStyle w:val="Heading3"/>
        <w:keepNext/>
        <w:pageBreakBefore w:val="0"/>
        <w:spacing w:before="160" w:after="80"/>
      </w:pPr>
      <w:r>
        <w:rPr>
          <w:rFonts w:ascii="Calibri" w:hAnsi="Calibri"/>
          <w:b/>
          <w:color w:val="111827"/>
          <w:sz w:val="24"/>
        </w:rPr>
        <w:t>Endpoint et paramètres</w:t>
      </w:r>
    </w:p>
    <w:p>
      <w:pPr>
        <w:spacing w:before="60" w:after="120"/>
        <w:ind w:left="280"/>
      </w:pPr>
      <w:r>
        <w:rPr>
          <w:rFonts w:ascii="Consolas" w:hAnsi="Consolas"/>
          <w:color w:val="1B4060"/>
          <w:sz w:val="18"/>
        </w:rPr>
        <w:t>GET /api/severity/      (aucun paramètre)</w:t>
      </w:r>
    </w:p>
    <w:p>
      <w:r>
        <w:rPr>
          <w:i/>
          <w:color w:val="555F70"/>
          <w:sz w:val="19"/>
        </w:rPr>
        <w:t>Aucun paramètre : le modèle de sévérité ne dépend que du profil cible, qui est fixe pour ce cas (Retail, ETI, maturité 55).</w:t>
      </w:r>
    </w:p>
    <w:p>
      <w:pPr>
        <w:pStyle w:val="Heading3"/>
        <w:keepNext/>
        <w:pageBreakBefore w:val="0"/>
        <w:spacing w:before="160" w:after="80"/>
      </w:pPr>
      <w:r>
        <w:rPr>
          <w:rFonts w:ascii="Calibri" w:hAnsi="Calibri"/>
          <w:b/>
          <w:color w:val="111827"/>
          <w:sz w:val="24"/>
        </w:rPr>
        <w:t>Chaîne de fonctions</w:t>
      </w:r>
    </w:p>
    <w:p>
      <w:pPr>
        <w:spacing w:after="40"/>
        <w:ind w:left="640" w:hanging="360"/>
      </w:pPr>
      <w:r>
        <w:rPr>
          <w:color w:val="555F70"/>
          <w:sz w:val="20"/>
        </w:rPr>
        <w:t xml:space="preserve">1.  </w:t>
      </w:r>
      <w:r>
        <w:rPr>
          <w:rFonts w:ascii="Consolas" w:hAnsi="Consolas"/>
          <w:color w:val="1B4060"/>
          <w:sz w:val="18"/>
        </w:rPr>
        <w:t>load_incidents()</w:t>
      </w:r>
      <w:r>
        <w:rPr>
          <w:sz w:val="20"/>
        </w:rPr>
        <w:t xml:space="preserve"> — lit et </w:t>
      </w:r>
      <w:r>
        <w:rPr>
          <w:b/>
          <w:sz w:val="20"/>
        </w:rPr>
        <w:t>nettoie</w:t>
      </w:r>
      <w:r>
        <w:rPr>
          <w:sz w:val="20"/>
        </w:rPr>
        <w:t xml:space="preserve"> la base externe ; renvoie aussi le </w:t>
      </w:r>
      <w:r>
        <w:rPr>
          <w:rFonts w:ascii="Consolas" w:hAnsi="Consolas"/>
          <w:color w:val="1B4060"/>
          <w:sz w:val="18"/>
        </w:rPr>
        <w:t>CleaningReport</w:t>
      </w:r>
      <w:r>
        <w:rPr>
          <w:sz w:val="20"/>
        </w:rPr>
        <w:t>.</w:t>
      </w:r>
    </w:p>
    <w:p>
      <w:pPr>
        <w:spacing w:after="40"/>
        <w:ind w:left="640" w:hanging="360"/>
      </w:pPr>
      <w:r>
        <w:rPr>
          <w:color w:val="555F70"/>
          <w:sz w:val="20"/>
        </w:rPr>
        <w:t xml:space="preserve">2.  </w:t>
      </w:r>
      <w:r>
        <w:rPr>
          <w:rFonts w:ascii="Consolas" w:hAnsi="Consolas"/>
          <w:color w:val="1B4060"/>
          <w:sz w:val="18"/>
        </w:rPr>
        <w:t>repair_mojibake()</w:t>
      </w:r>
      <w:r>
        <w:rPr>
          <w:sz w:val="20"/>
        </w:rPr>
        <w:t xml:space="preserve"> — répare le double encodage UTF-8 des libellés de secteur, qui séparait « Énergie » en deux secteurs distincts.</w:t>
      </w:r>
    </w:p>
    <w:p>
      <w:pPr>
        <w:spacing w:after="40"/>
        <w:ind w:left="640" w:hanging="360"/>
      </w:pPr>
      <w:r>
        <w:rPr>
          <w:color w:val="555F70"/>
          <w:sz w:val="20"/>
        </w:rPr>
        <w:t xml:space="preserve">3.  </w:t>
      </w:r>
      <w:r>
        <w:rPr>
          <w:rFonts w:ascii="Consolas" w:hAnsi="Consolas"/>
          <w:color w:val="1B4060"/>
          <w:sz w:val="18"/>
        </w:rPr>
        <w:t>fit_severity_model()</w:t>
      </w:r>
      <w:r>
        <w:rPr>
          <w:sz w:val="20"/>
        </w:rPr>
        <w:t xml:space="preserve"> — orchestre les étapes ci-dessous, une fois pour l'ensemble puis une fois par type d'attaque.</w:t>
      </w:r>
    </w:p>
    <w:p>
      <w:pPr>
        <w:spacing w:after="40"/>
        <w:ind w:left="640" w:hanging="360"/>
      </w:pPr>
      <w:r>
        <w:rPr>
          <w:color w:val="555F70"/>
          <w:sz w:val="20"/>
        </w:rPr>
        <w:t xml:space="preserve">4.  </w:t>
      </w:r>
      <w:r>
        <w:rPr>
          <w:rFonts w:ascii="Consolas" w:hAnsi="Consolas"/>
          <w:color w:val="1B4060"/>
          <w:sz w:val="18"/>
        </w:rPr>
        <w:t>peer_weights(incidents, params)</w:t>
      </w:r>
      <w:r>
        <w:rPr>
          <w:sz w:val="20"/>
        </w:rPr>
        <w:t xml:space="preserve"> — un poids par incident, via </w:t>
      </w:r>
      <w:r>
        <w:rPr>
          <w:rFonts w:ascii="Consolas" w:hAnsi="Consolas"/>
          <w:color w:val="1B4060"/>
          <w:sz w:val="18"/>
        </w:rPr>
        <w:t>sector_weight()</w:t>
      </w:r>
      <w:r>
        <w:rPr>
          <w:sz w:val="20"/>
        </w:rPr>
        <w:t xml:space="preserve">, </w:t>
      </w:r>
      <w:r>
        <w:rPr>
          <w:rFonts w:ascii="Consolas" w:hAnsi="Consolas"/>
          <w:color w:val="1B4060"/>
          <w:sz w:val="18"/>
        </w:rPr>
        <w:t>size_weight()</w:t>
      </w:r>
      <w:r>
        <w:rPr>
          <w:sz w:val="20"/>
        </w:rPr>
        <w:t xml:space="preserve"> et </w:t>
      </w:r>
      <w:r>
        <w:rPr>
          <w:rFonts w:ascii="Consolas" w:hAnsi="Consolas"/>
          <w:color w:val="1B4060"/>
          <w:sz w:val="18"/>
        </w:rPr>
        <w:t>maturity_weight()</w:t>
      </w:r>
      <w:r>
        <w:rPr>
          <w:sz w:val="20"/>
        </w:rPr>
        <w:t>.</w:t>
      </w:r>
    </w:p>
    <w:p>
      <w:pPr>
        <w:spacing w:after="40"/>
        <w:ind w:left="640" w:hanging="360"/>
      </w:pPr>
      <w:r>
        <w:rPr>
          <w:color w:val="555F70"/>
          <w:sz w:val="20"/>
        </w:rPr>
        <w:t xml:space="preserve">5.  </w:t>
      </w:r>
      <w:r>
        <w:rPr>
          <w:rFonts w:ascii="Consolas" w:hAnsi="Consolas"/>
          <w:color w:val="1B4060"/>
          <w:sz w:val="18"/>
        </w:rPr>
        <w:t>effective_sample_size(weights)</w:t>
      </w:r>
      <w:r>
        <w:rPr>
          <w:sz w:val="20"/>
        </w:rPr>
        <w:t xml:space="preserve"> — n_eff de Kish, ce que la pondération coûte.</w:t>
      </w:r>
    </w:p>
    <w:p>
      <w:pPr>
        <w:spacing w:after="40"/>
        <w:ind w:left="640" w:hanging="360"/>
      </w:pPr>
      <w:r>
        <w:rPr>
          <w:color w:val="555F70"/>
          <w:sz w:val="20"/>
        </w:rPr>
        <w:t xml:space="preserve">6.  </w:t>
      </w:r>
      <w:r>
        <w:rPr>
          <w:rFonts w:ascii="Consolas" w:hAnsi="Consolas"/>
          <w:color w:val="1B4060"/>
          <w:sz w:val="18"/>
        </w:rPr>
        <w:t>fit_lognormal(losses, weights)</w:t>
      </w:r>
      <w:r>
        <w:rPr>
          <w:sz w:val="20"/>
        </w:rPr>
        <w:t xml:space="preserve"> — maximum de vraisemblance pondéré sur les logs.</w:t>
      </w:r>
    </w:p>
    <w:p>
      <w:pPr>
        <w:spacing w:after="40"/>
        <w:ind w:left="640" w:hanging="360"/>
      </w:pPr>
      <w:r>
        <w:rPr>
          <w:color w:val="555F70"/>
          <w:sz w:val="20"/>
        </w:rPr>
        <w:t xml:space="preserve">7.  </w:t>
      </w:r>
      <w:r>
        <w:rPr>
          <w:rFonts w:ascii="Consolas" w:hAnsi="Consolas"/>
          <w:color w:val="1B4060"/>
          <w:sz w:val="18"/>
        </w:rPr>
        <w:t>diagnose()</w:t>
      </w:r>
      <w:r>
        <w:rPr>
          <w:sz w:val="20"/>
        </w:rPr>
        <w:t xml:space="preserve"> — assemble les preuves </w:t>
      </w:r>
      <w:r>
        <w:rPr>
          <w:i/>
          <w:sz w:val="20"/>
        </w:rPr>
        <w:t>contre</w:t>
      </w:r>
      <w:r>
        <w:rPr>
          <w:sz w:val="20"/>
        </w:rPr>
        <w:t xml:space="preserve"> l'ajustement : </w:t>
      </w:r>
      <w:r>
        <w:rPr>
          <w:rFonts w:ascii="Consolas" w:hAnsi="Consolas"/>
          <w:color w:val="1B4060"/>
          <w:sz w:val="18"/>
        </w:rPr>
        <w:t>weighted_ks()</w:t>
      </w:r>
      <w:r>
        <w:rPr>
          <w:sz w:val="20"/>
        </w:rPr>
        <w:t xml:space="preserve">, </w:t>
      </w:r>
      <w:r>
        <w:rPr>
          <w:rFonts w:ascii="Consolas" w:hAnsi="Consolas"/>
          <w:color w:val="1B4060"/>
          <w:sz w:val="18"/>
        </w:rPr>
        <w:t>qq_points()</w:t>
      </w:r>
      <w:r>
        <w:rPr>
          <w:sz w:val="20"/>
        </w:rPr>
        <w:t xml:space="preserve">, </w:t>
      </w:r>
      <w:r>
        <w:rPr>
          <w:rFonts w:ascii="Consolas" w:hAnsi="Consolas"/>
          <w:color w:val="1B4060"/>
          <w:sz w:val="18"/>
        </w:rPr>
        <w:t>fit_pareto_tail()</w:t>
      </w:r>
      <w:r>
        <w:rPr>
          <w:sz w:val="20"/>
        </w:rPr>
        <w:t xml:space="preserve">, </w:t>
      </w:r>
      <w:r>
        <w:rPr>
          <w:rFonts w:ascii="Consolas" w:hAnsi="Consolas"/>
          <w:color w:val="1B4060"/>
          <w:sz w:val="18"/>
        </w:rPr>
        <w:t>distribution_plot()</w:t>
      </w:r>
      <w:r>
        <w:rPr>
          <w:sz w:val="20"/>
        </w:rPr>
        <w:t>.</w:t>
      </w:r>
    </w:p>
    <w:p>
      <w:pPr>
        <w:pStyle w:val="Heading3"/>
        <w:keepNext/>
        <w:pageBreakBefore w:val="0"/>
        <w:spacing w:before="160" w:after="80"/>
      </w:pPr>
      <w:r>
        <w:rPr>
          <w:rFonts w:ascii="Calibri" w:hAnsi="Calibri"/>
          <w:b/>
          <w:color w:val="111827"/>
          <w:sz w:val="24"/>
        </w:rPr>
        <w:t>Les maths</w:t>
      </w:r>
    </w:p>
    <w:p>
      <w:pPr>
        <w:pStyle w:val="ListBullet"/>
        <w:spacing w:after="40"/>
        <w:ind w:left="360"/>
      </w:pPr>
      <w:r>
        <w:rPr>
          <w:b/>
          <w:sz w:val="20"/>
        </w:rPr>
        <w:t>Nettoyage.</w:t>
      </w:r>
      <w:r>
        <w:rPr>
          <w:sz w:val="20"/>
        </w:rPr>
        <w:t xml:space="preserve"> Les pertes à </w:t>
      </w:r>
      <w:r>
        <w:rPr>
          <w:rFonts w:ascii="Consolas" w:hAnsi="Consolas"/>
          <w:color w:val="1B4060"/>
          <w:sz w:val="18"/>
        </w:rPr>
        <w:t>-1</w:t>
      </w:r>
      <w:r>
        <w:rPr>
          <w:sz w:val="20"/>
        </w:rPr>
        <w:t xml:space="preserve"> sont des valeurs </w:t>
      </w:r>
      <w:r>
        <w:rPr>
          <w:b/>
          <w:sz w:val="20"/>
        </w:rPr>
        <w:t>manquantes</w:t>
      </w:r>
      <w:r>
        <w:rPr>
          <w:sz w:val="20"/>
        </w:rPr>
        <w:t xml:space="preserve">, jamais des 0 €. Deux lignes concernées, exclues de l'ajustement : il reste </w:t>
      </w:r>
      <w:r>
        <w:rPr>
          <w:b/>
          <w:sz w:val="20"/>
        </w:rPr>
        <w:t>1 598 incidents exploitables sur 1 600</w:t>
      </w:r>
      <w:r>
        <w:rPr>
          <w:sz w:val="20"/>
        </w:rPr>
        <w:t>.</w:t>
      </w:r>
    </w:p>
    <w:p>
      <w:pPr>
        <w:pStyle w:val="ListBullet"/>
        <w:spacing w:after="40"/>
        <w:ind w:left="360"/>
      </w:pPr>
      <w:r>
        <w:rPr>
          <w:b/>
          <w:sz w:val="20"/>
        </w:rPr>
        <w:t>Pondération douce, jamais de filtre dur.</w:t>
      </w:r>
      <w:r>
        <w:rPr>
          <w:sz w:val="20"/>
        </w:rPr>
        <w:t xml:space="preserve"> Un poids continu par incident, produit de trois facteurs de ressemblance : secteur (1,0 si Retail, sinon 0,4), taille (1,0 si ETI, sinon 0,6) et un noyau gaussien sur l'écart de maturité, de largeur h = 15.</w:t>
      </w:r>
    </w:p>
    <w:p>
      <w:pPr>
        <w:pStyle w:val="ListBullet"/>
        <w:spacing w:after="40"/>
        <w:ind w:left="360"/>
      </w:pPr>
      <w:r>
        <w:rPr>
          <w:b/>
          <w:sz w:val="20"/>
        </w:rPr>
        <w:t>Pourquoi pondérer.</w:t>
      </w:r>
      <w:r>
        <w:rPr>
          <w:sz w:val="20"/>
        </w:rPr>
        <w:t xml:space="preserve"> Un filtre exact sur le profil ne laisse que </w:t>
      </w:r>
      <w:r>
        <w:rPr>
          <w:b/>
          <w:sz w:val="20"/>
        </w:rPr>
        <w:t>112 incidents sur 1 598</w:t>
      </w:r>
      <w:r>
        <w:rPr>
          <w:sz w:val="20"/>
        </w:rPr>
        <w:t>, et plus aucun type d'attaque n'a d'échantillon crédible. Mathématiquement propre, pratiquement inutilisable.</w:t>
      </w:r>
    </w:p>
    <w:p>
      <w:pPr>
        <w:pStyle w:val="ListBullet"/>
        <w:spacing w:after="40"/>
        <w:ind w:left="360"/>
      </w:pPr>
      <w:r>
        <w:rPr>
          <w:b/>
          <w:sz w:val="20"/>
        </w:rPr>
        <w:t>Ajustement lognormal pondéré</w:t>
      </w:r>
      <w:r>
        <w:rPr>
          <w:sz w:val="20"/>
        </w:rPr>
        <w:t>, sur l'échelle des logs — c'est simplement une moyenne et une variance pondérées :</w:t>
      </w:r>
    </w:p>
    <w:p>
      <w:pPr>
        <w:spacing w:before="60" w:after="120"/>
        <w:ind w:left="280"/>
      </w:pPr>
      <w:r>
        <w:rPr>
          <w:rFonts w:ascii="Consolas" w:hAnsi="Consolas"/>
          <w:color w:val="1B4060"/>
          <w:sz w:val="18"/>
        </w:rPr>
        <w:t>mu    = Σ wᵢ ln xᵢ / Σ wᵢ</w:t>
      </w:r>
      <w:r>
        <w:rPr>
          <w:rFonts w:ascii="Consolas" w:hAnsi="Consolas"/>
          <w:color w:val="1B4060"/>
          <w:sz w:val="18"/>
        </w:rPr>
        <w:br/>
        <w:t>sigma² = Σ wᵢ (ln xᵢ − mu)² / Σ wᵢ</w:t>
      </w:r>
    </w:p>
    <w:p>
      <w:pPr>
        <w:pStyle w:val="ListBullet"/>
        <w:spacing w:after="40"/>
        <w:ind w:left="360"/>
      </w:pPr>
      <w:r>
        <w:rPr>
          <w:b/>
          <w:sz w:val="20"/>
        </w:rPr>
        <w:t>Retour en euros</w:t>
      </w:r>
      <w:r>
        <w:rPr>
          <w:sz w:val="20"/>
        </w:rPr>
        <w:t xml:space="preserve"> : </w:t>
      </w:r>
      <w:r>
        <w:rPr>
          <w:rFonts w:ascii="Consolas" w:hAnsi="Consolas"/>
          <w:color w:val="1B4060"/>
          <w:sz w:val="18"/>
        </w:rPr>
        <w:t>médiane = e^mu</w:t>
      </w:r>
      <w:r>
        <w:rPr>
          <w:sz w:val="20"/>
        </w:rPr>
        <w:t xml:space="preserve"> et </w:t>
      </w:r>
      <w:r>
        <w:rPr>
          <w:rFonts w:ascii="Consolas" w:hAnsi="Consolas"/>
          <w:color w:val="1B4060"/>
          <w:sz w:val="18"/>
        </w:rPr>
        <w:t>moyenne = e^(mu + sigma²/2)</w:t>
      </w:r>
      <w:r>
        <w:rPr>
          <w:sz w:val="20"/>
        </w:rPr>
        <w:t xml:space="preserve">. Attention : mu et sigma </w:t>
      </w:r>
      <w:r>
        <w:rPr>
          <w:b/>
          <w:sz w:val="20"/>
        </w:rPr>
        <w:t>ne sont pas</w:t>
      </w:r>
      <w:r>
        <w:rPr>
          <w:sz w:val="20"/>
        </w:rPr>
        <w:t xml:space="preserve"> la moyenne et l'écart-type de la perte, mais ceux de son logarithme.</w:t>
      </w:r>
    </w:p>
    <w:p>
      <w:pPr>
        <w:pStyle w:val="ListBullet"/>
        <w:spacing w:after="40"/>
        <w:ind w:left="360"/>
      </w:pPr>
      <w:r>
        <w:rPr>
          <w:b/>
          <w:sz w:val="20"/>
        </w:rPr>
        <w:t>Exemple, supply chain</w:t>
      </w:r>
      <w:r>
        <w:rPr>
          <w:sz w:val="20"/>
        </w:rPr>
        <w:t xml:space="preserve"> : mu = 12,119, sigma = 2,582 → médiane </w:t>
      </w:r>
      <w:r>
        <w:rPr>
          <w:b/>
          <w:sz w:val="20"/>
        </w:rPr>
        <w:t>183 k€</w:t>
      </w:r>
      <w:r>
        <w:rPr>
          <w:sz w:val="20"/>
        </w:rPr>
        <w:t xml:space="preserve">, moyenne </w:t>
      </w:r>
      <w:r>
        <w:rPr>
          <w:b/>
          <w:sz w:val="20"/>
        </w:rPr>
        <w:t>5,1 M€</w:t>
      </w:r>
      <w:r>
        <w:rPr>
          <w:sz w:val="20"/>
        </w:rPr>
        <w:t xml:space="preserve">. La queue multiplie la moyenne par </w:t>
      </w:r>
      <w:r>
        <w:rPr>
          <w:b/>
          <w:sz w:val="20"/>
        </w:rPr>
        <w:t>28</w:t>
      </w:r>
      <w:r>
        <w:rPr>
          <w:sz w:val="20"/>
        </w:rPr>
        <w:t xml:space="preserve"> : e^(sigma²/2).</w:t>
      </w:r>
    </w:p>
    <w:p>
      <w:pPr>
        <w:pStyle w:val="ListBullet"/>
        <w:spacing w:after="40"/>
        <w:ind w:left="360"/>
      </w:pPr>
      <w:r>
        <w:rPr>
          <w:b/>
          <w:sz w:val="20"/>
        </w:rPr>
        <w:t>C'est la moyenne qui alimente la perte annuelle</w:t>
      </w:r>
      <w:r>
        <w:rPr>
          <w:sz w:val="20"/>
        </w:rPr>
        <w:t>, pas la médiane. Un décideur qui raisonne sur « l'incident typique » se trompe d'un facteur 28.</w:t>
      </w:r>
    </w:p>
    <w:p>
      <w:pPr>
        <w:pStyle w:val="ListBullet"/>
        <w:spacing w:after="40"/>
        <w:ind w:left="360"/>
      </w:pPr>
      <w:r>
        <w:rPr>
          <w:b/>
          <w:sz w:val="20"/>
        </w:rPr>
        <w:t>n_eff de Kish</w:t>
      </w:r>
      <w:r>
        <w:rPr>
          <w:sz w:val="20"/>
        </w:rPr>
        <w:t xml:space="preserve"> = </w:t>
      </w:r>
      <w:r>
        <w:rPr>
          <w:rFonts w:ascii="Consolas" w:hAnsi="Consolas"/>
          <w:color w:val="1B4060"/>
          <w:sz w:val="18"/>
        </w:rPr>
        <w:t>(Σw)² / Σw²</w:t>
      </w:r>
      <w:r>
        <w:rPr>
          <w:sz w:val="20"/>
        </w:rPr>
        <w:t xml:space="preserve">. C'est le nombre d'observations de poids égal qui porteraient autant d'information. Il mesure la </w:t>
      </w:r>
      <w:r>
        <w:rPr>
          <w:b/>
          <w:sz w:val="20"/>
        </w:rPr>
        <w:t>régularité</w:t>
      </w:r>
      <w:r>
        <w:rPr>
          <w:sz w:val="20"/>
        </w:rPr>
        <w:t xml:space="preserve"> des poids, pas leur taille. En dessous de </w:t>
      </w:r>
      <w:r>
        <w:rPr>
          <w:b/>
          <w:sz w:val="20"/>
        </w:rPr>
        <w:t>30</w:t>
      </w:r>
      <w:r>
        <w:rPr>
          <w:sz w:val="20"/>
        </w:rPr>
        <w:t>, le type bascule sur la distribution poolée, et la substitution est enregistrée.</w:t>
      </w:r>
    </w:p>
    <w:p>
      <w:pPr>
        <w:pStyle w:val="ListBullet"/>
        <w:spacing w:after="40"/>
        <w:ind w:left="360"/>
      </w:pPr>
      <w:r>
        <w:rPr>
          <w:b/>
          <w:sz w:val="20"/>
        </w:rPr>
        <w:t>Preuves publiées avec chaque ajustement</w:t>
      </w:r>
      <w:r>
        <w:rPr>
          <w:sz w:val="20"/>
        </w:rPr>
        <w:t xml:space="preserve"> : KS pondéré (ici </w:t>
      </w:r>
      <w:r>
        <w:rPr>
          <w:b/>
          <w:sz w:val="20"/>
        </w:rPr>
        <w:t>0,118</w:t>
      </w:r>
      <w:r>
        <w:rPr>
          <w:sz w:val="20"/>
        </w:rPr>
        <w:t xml:space="preserve"> contre un seuil indicatif ≈ 0,19), QQ-plot des log-pertes, et une </w:t>
      </w:r>
      <w:r>
        <w:rPr>
          <w:b/>
          <w:sz w:val="20"/>
        </w:rPr>
        <w:t>queue de Pareto ajustée en rivale</w:t>
      </w:r>
      <w:r>
        <w:rPr>
          <w:sz w:val="20"/>
        </w:rPr>
        <w:t xml:space="preserve"> — elle gagne sur 5 ajustements sur 9, donc VaR 99 et TVaR 99 se lisent comme des bornes basses.</w:t>
      </w:r>
    </w:p>
    <w:p>
      <w:pPr>
        <w:spacing w:before="80" w:after="200"/>
        <w:ind w:left="240"/>
      </w:pPr>
      <w:r>
        <w:rPr>
          <w:b/>
          <w:color w:val="0B63A6"/>
          <w:sz w:val="17"/>
        </w:rPr>
        <w:t xml:space="preserve">À DIRE  </w:t>
      </w:r>
      <w:r>
        <w:rPr>
          <w:i/>
          <w:sz w:val="20"/>
        </w:rPr>
        <w:t>Une perte est bornée à zéro, sans plafond, et s'étale sur quatre ordres de grandeur : c'est la signature d'une variable dont le logarithme est à peu près normal, donc lognormale. J'ajuste par maximum de vraisemblance pondéré sur les logs — concrètement une moyenne et une variance pondérées — un ajustement par type d'attaque, parce qu'une lognormale unique se fait rejeter par Kolmogorov-Smirnov. Les poids viennent d'un noyau de similarité sur secteur, taille et maturité : je pondère plutôt que je filtre, parce qu'un filtre exact ne laisserait que 112 incidents. Le prix de cette souplesse est un échantillon effectif plus petit, que je publie type par type, avec repli sur la distribution poolée en dessous de 30.</w:t>
      </w:r>
    </w:p>
    <w:p>
      <w:pPr>
        <w:pStyle w:val="Heading2"/>
        <w:keepNext/>
        <w:pageBreakBefore/>
        <w:spacing w:before="240" w:after="80"/>
      </w:pPr>
      <w:r>
        <w:rPr>
          <w:rFonts w:ascii="Calibri" w:hAnsi="Calibri"/>
          <w:b/>
          <w:color w:val="0B63A6"/>
          <w:sz w:val="30"/>
        </w:rPr>
        <w:t>4. Simulation — ce que coûte une année</w:t>
      </w:r>
    </w:p>
    <w:p>
      <w:pPr>
        <w:pStyle w:val="Heading3"/>
        <w:keepNext/>
        <w:pageBreakBefore w:val="0"/>
        <w:spacing w:before="160" w:after="80"/>
      </w:pPr>
      <w:r>
        <w:rPr>
          <w:rFonts w:ascii="Calibri" w:hAnsi="Calibri"/>
          <w:b/>
          <w:color w:val="111827"/>
          <w:sz w:val="24"/>
        </w:rPr>
        <w:t>Endpoint et paramètres</w:t>
      </w:r>
    </w:p>
    <w:p>
      <w:pPr>
        <w:spacing w:before="60" w:after="120"/>
        <w:ind w:left="280"/>
      </w:pPr>
      <w:r>
        <w:rPr>
          <w:rFonts w:ascii="Consolas" w:hAnsi="Consolas"/>
          <w:color w:val="1B4060"/>
          <w:sz w:val="18"/>
        </w:rPr>
        <w:t>POST /api/simulate/</w:t>
      </w:r>
      <w:r>
        <w:rPr>
          <w:rFonts w:ascii="Consolas" w:hAnsi="Consolas"/>
          <w:color w:val="1B4060"/>
          <w:sz w:val="18"/>
        </w:rPr>
        <w:br/>
        <w:t>{</w:t>
      </w:r>
      <w:r>
        <w:rPr>
          <w:rFonts w:ascii="Consolas" w:hAnsi="Consolas"/>
          <w:color w:val="1B4060"/>
          <w:sz w:val="18"/>
        </w:rPr>
        <w:br/>
        <w:t xml:space="preserve">  "n_years": 5000,              "seed": 42,</w:t>
      </w:r>
      <w:r>
        <w:rPr>
          <w:rFonts w:ascii="Consolas" w:hAnsi="Consolas"/>
          <w:color w:val="1B4060"/>
          <w:sz w:val="18"/>
        </w:rPr>
        <w:br/>
        <w:t xml:space="preserve">  "severity_threshold": "high", "session_window_hours": 24,</w:t>
      </w:r>
      <w:r>
        <w:rPr>
          <w:rFonts w:ascii="Consolas" w:hAnsi="Consolas"/>
          <w:color w:val="1B4060"/>
          <w:sz w:val="18"/>
        </w:rPr>
        <w:br/>
        <w:t xml:space="preserve">  "loss_cap_eur": null,         "curve_points": 160,</w:t>
      </w:r>
      <w:r>
        <w:rPr>
          <w:rFonts w:ascii="Consolas" w:hAnsi="Consolas"/>
          <w:color w:val="1B4060"/>
          <w:sz w:val="18"/>
        </w:rPr>
        <w:br/>
        <w:t xml:space="preserve">  "histogram_bins": 40,         "include_sensitivity": true</w:t>
      </w:r>
      <w:r>
        <w:rPr>
          <w:rFonts w:ascii="Consolas" w:hAnsi="Consolas"/>
          <w:color w:val="1B4060"/>
          <w:sz w:val="18"/>
        </w:rPr>
        <w:br/>
        <w:t>}</w:t>
      </w:r>
    </w:p>
    <w:tbl>
      <w:tblPr>
        <w:tblStyle w:val="LightGrid-Accent1"/>
        <w:tblW w:type="auto" w:w="0"/>
        <w:jc w:val="left"/>
        <w:tblLook w:firstColumn="1" w:firstRow="1" w:lastColumn="0" w:lastRow="0" w:noHBand="0" w:noVBand="1" w:val="04A0"/>
      </w:tblPr>
      <w:tblGrid>
        <w:gridCol w:w="3360"/>
        <w:gridCol w:w="3360"/>
        <w:gridCol w:w="3360"/>
      </w:tblGrid>
      <w:tr>
        <w:tc>
          <w:tcPr>
            <w:tcW w:type="dxa" w:w="3360"/>
          </w:tcPr>
          <w:p>
            <w:r/>
            <w:r>
              <w:rPr>
                <w:b/>
                <w:sz w:val="18"/>
              </w:rPr>
              <w:t>Paramètre</w:t>
            </w:r>
          </w:p>
        </w:tc>
        <w:tc>
          <w:tcPr>
            <w:tcW w:type="dxa" w:w="3360"/>
          </w:tcPr>
          <w:p>
            <w:r/>
            <w:r>
              <w:rPr>
                <w:b/>
                <w:sz w:val="18"/>
              </w:rPr>
              <w:t>Défaut</w:t>
            </w:r>
          </w:p>
        </w:tc>
        <w:tc>
          <w:tcPr>
            <w:tcW w:type="dxa" w:w="3360"/>
          </w:tcPr>
          <w:p>
            <w:r/>
            <w:r>
              <w:rPr>
                <w:b/>
                <w:sz w:val="18"/>
              </w:rPr>
              <w:t>Effet</w:t>
            </w:r>
          </w:p>
        </w:tc>
      </w:tr>
      <w:tr>
        <w:tc>
          <w:tcPr>
            <w:tcW w:type="dxa" w:w="3360"/>
          </w:tcPr>
          <w:p>
            <w:r>
              <w:rPr>
                <w:sz w:val="18"/>
              </w:rPr>
            </w:r>
            <w:r>
              <w:rPr>
                <w:rFonts w:ascii="Consolas" w:hAnsi="Consolas"/>
                <w:color w:val="1B4060"/>
                <w:sz w:val="18"/>
              </w:rPr>
              <w:t>n_years</w:t>
            </w:r>
          </w:p>
        </w:tc>
        <w:tc>
          <w:tcPr>
            <w:tcW w:type="dxa" w:w="3360"/>
          </w:tcPr>
          <w:p>
            <w:r>
              <w:rPr>
                <w:sz w:val="18"/>
              </w:rPr>
            </w:r>
            <w:r>
              <w:rPr>
                <w:sz w:val="18"/>
              </w:rPr>
              <w:t>5 000 (API) / 100 000 (CLI)</w:t>
            </w:r>
          </w:p>
        </w:tc>
        <w:tc>
          <w:tcPr>
            <w:tcW w:type="dxa" w:w="3360"/>
          </w:tcPr>
          <w:p>
            <w:r>
              <w:rPr>
                <w:sz w:val="18"/>
              </w:rPr>
            </w:r>
            <w:r>
              <w:rPr>
                <w:sz w:val="18"/>
              </w:rPr>
              <w:t>finesse de la queue ; borné à 200 000</w:t>
            </w:r>
          </w:p>
        </w:tc>
      </w:tr>
      <w:tr>
        <w:tc>
          <w:tcPr>
            <w:tcW w:type="dxa" w:w="3360"/>
          </w:tcPr>
          <w:p>
            <w:r>
              <w:rPr>
                <w:sz w:val="18"/>
              </w:rPr>
            </w:r>
            <w:r>
              <w:rPr>
                <w:rFonts w:ascii="Consolas" w:hAnsi="Consolas"/>
                <w:color w:val="1B4060"/>
                <w:sz w:val="18"/>
              </w:rPr>
              <w:t>seed</w:t>
            </w:r>
          </w:p>
        </w:tc>
        <w:tc>
          <w:tcPr>
            <w:tcW w:type="dxa" w:w="3360"/>
          </w:tcPr>
          <w:p>
            <w:r>
              <w:rPr>
                <w:sz w:val="18"/>
              </w:rPr>
            </w:r>
            <w:r>
              <w:rPr>
                <w:sz w:val="18"/>
              </w:rPr>
              <w:t>42</w:t>
            </w:r>
          </w:p>
        </w:tc>
        <w:tc>
          <w:tcPr>
            <w:tcW w:type="dxa" w:w="3360"/>
          </w:tcPr>
          <w:p>
            <w:r>
              <w:rPr>
                <w:sz w:val="18"/>
              </w:rPr>
            </w:r>
            <w:r>
              <w:rPr>
                <w:sz w:val="18"/>
              </w:rPr>
              <w:t>reproductibilité bit à bit</w:t>
            </w:r>
          </w:p>
        </w:tc>
      </w:tr>
      <w:tr>
        <w:tc>
          <w:tcPr>
            <w:tcW w:type="dxa" w:w="3360"/>
          </w:tcPr>
          <w:p>
            <w:r>
              <w:rPr>
                <w:sz w:val="18"/>
              </w:rPr>
            </w:r>
            <w:r>
              <w:rPr>
                <w:rFonts w:ascii="Consolas" w:hAnsi="Consolas"/>
                <w:color w:val="1B4060"/>
                <w:sz w:val="18"/>
              </w:rPr>
              <w:t>severity_threshold</w:t>
            </w:r>
          </w:p>
        </w:tc>
        <w:tc>
          <w:tcPr>
            <w:tcW w:type="dxa" w:w="3360"/>
          </w:tcPr>
          <w:p>
            <w:r>
              <w:rPr>
                <w:sz w:val="18"/>
              </w:rPr>
            </w:r>
            <w:r>
              <w:rPr>
                <w:rFonts w:ascii="Consolas" w:hAnsi="Consolas"/>
                <w:color w:val="1B4060"/>
                <w:sz w:val="18"/>
              </w:rPr>
              <w:t>high</w:t>
            </w:r>
          </w:p>
        </w:tc>
        <w:tc>
          <w:tcPr>
            <w:tcW w:type="dxa" w:w="3360"/>
          </w:tcPr>
          <w:p>
            <w:r>
              <w:rPr>
                <w:sz w:val="18"/>
              </w:rPr>
            </w:r>
            <w:r>
              <w:rPr>
                <w:sz w:val="18"/>
              </w:rPr>
              <w:t>convention de fréquence, cf. §2</w:t>
            </w:r>
          </w:p>
        </w:tc>
      </w:tr>
      <w:tr>
        <w:tc>
          <w:tcPr>
            <w:tcW w:type="dxa" w:w="3360"/>
          </w:tcPr>
          <w:p>
            <w:r>
              <w:rPr>
                <w:sz w:val="18"/>
              </w:rPr>
            </w:r>
            <w:r>
              <w:rPr>
                <w:rFonts w:ascii="Consolas" w:hAnsi="Consolas"/>
                <w:color w:val="1B4060"/>
                <w:sz w:val="18"/>
              </w:rPr>
              <w:t>session_window_hours</w:t>
            </w:r>
          </w:p>
        </w:tc>
        <w:tc>
          <w:tcPr>
            <w:tcW w:type="dxa" w:w="3360"/>
          </w:tcPr>
          <w:p>
            <w:r>
              <w:rPr>
                <w:sz w:val="18"/>
              </w:rPr>
            </w:r>
            <w:r>
              <w:rPr>
                <w:sz w:val="18"/>
              </w:rPr>
              <w:t>24</w:t>
            </w:r>
          </w:p>
        </w:tc>
        <w:tc>
          <w:tcPr>
            <w:tcW w:type="dxa" w:w="3360"/>
          </w:tcPr>
          <w:p>
            <w:r>
              <w:rPr>
                <w:sz w:val="18"/>
              </w:rPr>
            </w:r>
            <w:r>
              <w:rPr>
                <w:sz w:val="18"/>
              </w:rPr>
              <w:t>convention de fréquence, cf. §2</w:t>
            </w:r>
          </w:p>
        </w:tc>
      </w:tr>
      <w:tr>
        <w:tc>
          <w:tcPr>
            <w:tcW w:type="dxa" w:w="3360"/>
          </w:tcPr>
          <w:p>
            <w:r>
              <w:rPr>
                <w:sz w:val="18"/>
              </w:rPr>
            </w:r>
            <w:r>
              <w:rPr>
                <w:rFonts w:ascii="Consolas" w:hAnsi="Consolas"/>
                <w:color w:val="1B4060"/>
                <w:sz w:val="18"/>
              </w:rPr>
              <w:t>loss_cap_eur</w:t>
            </w:r>
          </w:p>
        </w:tc>
        <w:tc>
          <w:tcPr>
            <w:tcW w:type="dxa" w:w="3360"/>
          </w:tcPr>
          <w:p>
            <w:r>
              <w:rPr>
                <w:sz w:val="18"/>
              </w:rPr>
            </w:r>
            <w:r>
              <w:rPr>
                <w:sz w:val="18"/>
              </w:rPr>
              <w:t>99,9ᵉ centile ≈ 23,5 M€</w:t>
            </w:r>
          </w:p>
        </w:tc>
        <w:tc>
          <w:tcPr>
            <w:tcW w:type="dxa" w:w="3360"/>
          </w:tcPr>
          <w:p>
            <w:r>
              <w:rPr>
                <w:sz w:val="18"/>
              </w:rPr>
            </w:r>
            <w:r>
              <w:rPr>
                <w:sz w:val="18"/>
              </w:rPr>
              <w:t xml:space="preserve">plafond de plausibilité par incident ; </w:t>
            </w:r>
            <w:r>
              <w:rPr>
                <w:rFonts w:ascii="Consolas" w:hAnsi="Consolas"/>
                <w:color w:val="1B4060"/>
                <w:sz w:val="18"/>
              </w:rPr>
              <w:t>inf</w:t>
            </w:r>
            <w:r>
              <w:rPr>
                <w:sz w:val="18"/>
              </w:rPr>
              <w:t xml:space="preserve"> pour désactiver</w:t>
            </w:r>
          </w:p>
        </w:tc>
      </w:tr>
      <w:tr>
        <w:tc>
          <w:tcPr>
            <w:tcW w:type="dxa" w:w="3360"/>
          </w:tcPr>
          <w:p>
            <w:r>
              <w:rPr>
                <w:sz w:val="18"/>
              </w:rPr>
            </w:r>
            <w:r>
              <w:rPr>
                <w:rFonts w:ascii="Consolas" w:hAnsi="Consolas"/>
                <w:color w:val="1B4060"/>
                <w:sz w:val="18"/>
              </w:rPr>
              <w:t>curve_points</w:t>
            </w:r>
          </w:p>
        </w:tc>
        <w:tc>
          <w:tcPr>
            <w:tcW w:type="dxa" w:w="3360"/>
          </w:tcPr>
          <w:p>
            <w:r>
              <w:rPr>
                <w:sz w:val="18"/>
              </w:rPr>
            </w:r>
            <w:r>
              <w:rPr>
                <w:sz w:val="18"/>
              </w:rPr>
              <w:t>160</w:t>
            </w:r>
          </w:p>
        </w:tc>
        <w:tc>
          <w:tcPr>
            <w:tcW w:type="dxa" w:w="3360"/>
          </w:tcPr>
          <w:p>
            <w:r>
              <w:rPr>
                <w:sz w:val="18"/>
              </w:rPr>
            </w:r>
            <w:r>
              <w:rPr>
                <w:sz w:val="18"/>
              </w:rPr>
              <w:t>résolution des courbes OEP/AEP</w:t>
            </w:r>
          </w:p>
        </w:tc>
      </w:tr>
      <w:tr>
        <w:tc>
          <w:tcPr>
            <w:tcW w:type="dxa" w:w="3360"/>
          </w:tcPr>
          <w:p>
            <w:r>
              <w:rPr>
                <w:sz w:val="18"/>
              </w:rPr>
            </w:r>
            <w:r>
              <w:rPr>
                <w:rFonts w:ascii="Consolas" w:hAnsi="Consolas"/>
                <w:color w:val="1B4060"/>
                <w:sz w:val="18"/>
              </w:rPr>
              <w:t>histogram_bins</w:t>
            </w:r>
          </w:p>
        </w:tc>
        <w:tc>
          <w:tcPr>
            <w:tcW w:type="dxa" w:w="3360"/>
          </w:tcPr>
          <w:p>
            <w:r>
              <w:rPr>
                <w:sz w:val="18"/>
              </w:rPr>
            </w:r>
            <w:r>
              <w:rPr>
                <w:sz w:val="18"/>
              </w:rPr>
              <w:t>40</w:t>
            </w:r>
          </w:p>
        </w:tc>
        <w:tc>
          <w:tcPr>
            <w:tcW w:type="dxa" w:w="3360"/>
          </w:tcPr>
          <w:p>
            <w:r>
              <w:rPr>
                <w:sz w:val="18"/>
              </w:rPr>
            </w:r>
            <w:r>
              <w:rPr>
                <w:sz w:val="18"/>
              </w:rPr>
              <w:t>bins de l'histogramme (log)</w:t>
            </w:r>
          </w:p>
        </w:tc>
      </w:tr>
      <w:tr>
        <w:tc>
          <w:tcPr>
            <w:tcW w:type="dxa" w:w="3360"/>
          </w:tcPr>
          <w:p>
            <w:r>
              <w:rPr>
                <w:sz w:val="18"/>
              </w:rPr>
            </w:r>
            <w:r>
              <w:rPr>
                <w:rFonts w:ascii="Consolas" w:hAnsi="Consolas"/>
                <w:color w:val="1B4060"/>
                <w:sz w:val="18"/>
              </w:rPr>
              <w:t>include_sensitivity</w:t>
            </w:r>
          </w:p>
        </w:tc>
        <w:tc>
          <w:tcPr>
            <w:tcW w:type="dxa" w:w="3360"/>
          </w:tcPr>
          <w:p>
            <w:r>
              <w:rPr>
                <w:sz w:val="18"/>
              </w:rPr>
            </w:r>
            <w:r>
              <w:rPr>
                <w:rFonts w:ascii="Consolas" w:hAnsi="Consolas"/>
                <w:color w:val="1B4060"/>
                <w:sz w:val="18"/>
              </w:rPr>
              <w:t>true</w:t>
            </w:r>
          </w:p>
        </w:tc>
        <w:tc>
          <w:tcPr>
            <w:tcW w:type="dxa" w:w="3360"/>
          </w:tcPr>
          <w:p>
            <w:r>
              <w:rPr>
                <w:sz w:val="18"/>
              </w:rPr>
            </w:r>
            <w:r>
              <w:rPr>
                <w:sz w:val="18"/>
              </w:rPr>
              <w:t>grille 3×3 — neuf runs de plus</w:t>
            </w:r>
          </w:p>
        </w:tc>
      </w:tr>
    </w:tbl>
    <w:p>
      <w:pPr>
        <w:spacing w:after="40"/>
      </w:pPr>
    </w:p>
    <w:p>
      <w:pPr>
        <w:pStyle w:val="Heading3"/>
        <w:keepNext/>
        <w:pageBreakBefore w:val="0"/>
        <w:spacing w:before="160" w:after="80"/>
      </w:pPr>
      <w:r>
        <w:rPr>
          <w:rFonts w:ascii="Calibri" w:hAnsi="Calibri"/>
          <w:b/>
          <w:color w:val="111827"/>
          <w:sz w:val="24"/>
        </w:rPr>
        <w:t>Chaîne de fonctions</w:t>
      </w:r>
    </w:p>
    <w:p>
      <w:pPr>
        <w:spacing w:after="40"/>
        <w:ind w:left="640" w:hanging="360"/>
      </w:pPr>
      <w:r>
        <w:rPr>
          <w:color w:val="555F70"/>
          <w:sz w:val="20"/>
        </w:rPr>
        <w:t xml:space="preserve">1.  </w:t>
      </w:r>
      <w:r>
        <w:rPr>
          <w:rFonts w:ascii="Consolas" w:hAnsi="Consolas"/>
          <w:color w:val="1B4060"/>
          <w:sz w:val="18"/>
        </w:rPr>
        <w:t>get_simulation(n_years, seed, seuil, fenêtre, cap)</w:t>
      </w:r>
      <w:r>
        <w:rPr>
          <w:sz w:val="20"/>
        </w:rPr>
        <w:t xml:space="preserve"> — mémoïsé ; </w:t>
      </w:r>
      <w:r>
        <w:rPr>
          <w:b/>
          <w:sz w:val="20"/>
        </w:rPr>
        <w:t>le cap fait partie de la clé de cache</w:t>
      </w:r>
      <w:r>
        <w:rPr>
          <w:sz w:val="20"/>
        </w:rPr>
        <w:t>, deux plafonds sont deux réponses.</w:t>
      </w:r>
    </w:p>
    <w:p>
      <w:pPr>
        <w:spacing w:after="40"/>
        <w:ind w:left="640" w:hanging="360"/>
      </w:pPr>
      <w:r>
        <w:rPr>
          <w:color w:val="555F70"/>
          <w:sz w:val="20"/>
        </w:rPr>
        <w:t xml:space="preserve">2.  </w:t>
      </w:r>
      <w:r>
        <w:rPr>
          <w:rFonts w:ascii="Consolas" w:hAnsi="Consolas"/>
          <w:color w:val="1B4060"/>
          <w:sz w:val="18"/>
        </w:rPr>
        <w:t>simulate()</w:t>
      </w:r>
      <w:r>
        <w:rPr>
          <w:sz w:val="20"/>
        </w:rPr>
        <w:t xml:space="preserve"> — la boucle Monte Carlo, vectorisée par blocs d'années.</w:t>
      </w:r>
    </w:p>
    <w:p>
      <w:pPr>
        <w:spacing w:after="40"/>
        <w:ind w:left="640" w:hanging="360"/>
      </w:pPr>
      <w:r>
        <w:rPr>
          <w:color w:val="555F70"/>
          <w:sz w:val="20"/>
        </w:rPr>
        <w:t xml:space="preserve">3.  </w:t>
      </w:r>
      <w:r>
        <w:rPr>
          <w:rFonts w:ascii="Consolas" w:hAnsi="Consolas"/>
          <w:color w:val="1B4060"/>
          <w:sz w:val="18"/>
        </w:rPr>
        <w:t>rng.poisson(lam=λ_type, size=bloc)</w:t>
      </w:r>
      <w:r>
        <w:rPr>
          <w:sz w:val="20"/>
        </w:rPr>
        <w:t xml:space="preserve"> — le nombre d'incidents de chaque année.</w:t>
      </w:r>
    </w:p>
    <w:p>
      <w:pPr>
        <w:spacing w:after="40"/>
        <w:ind w:left="640" w:hanging="360"/>
      </w:pPr>
      <w:r>
        <w:rPr>
          <w:color w:val="555F70"/>
          <w:sz w:val="20"/>
        </w:rPr>
        <w:t xml:space="preserve">4.  </w:t>
      </w:r>
      <w:r>
        <w:rPr>
          <w:rFonts w:ascii="Consolas" w:hAnsi="Consolas"/>
          <w:color w:val="1B4060"/>
          <w:sz w:val="18"/>
        </w:rPr>
        <w:t>rng.lognormal(mean=mu, sigma=sigma, size=total)</w:t>
      </w:r>
      <w:r>
        <w:rPr>
          <w:sz w:val="20"/>
        </w:rPr>
        <w:t xml:space="preserve"> — le prix de chaque incident.</w:t>
      </w:r>
    </w:p>
    <w:p>
      <w:pPr>
        <w:spacing w:after="40"/>
        <w:ind w:left="640" w:hanging="360"/>
      </w:pPr>
      <w:r>
        <w:rPr>
          <w:color w:val="555F70"/>
          <w:sz w:val="20"/>
        </w:rPr>
        <w:t xml:space="preserve">5.  </w:t>
      </w:r>
      <w:r>
        <w:rPr>
          <w:rFonts w:ascii="Consolas" w:hAnsi="Consolas"/>
          <w:color w:val="1B4060"/>
          <w:sz w:val="18"/>
        </w:rPr>
        <w:t>np.minimum(losses, cap)</w:t>
      </w:r>
      <w:r>
        <w:rPr>
          <w:sz w:val="20"/>
        </w:rPr>
        <w:t xml:space="preserve"> — le plafond de plausibilité.</w:t>
      </w:r>
    </w:p>
    <w:p>
      <w:pPr>
        <w:spacing w:after="40"/>
        <w:ind w:left="640" w:hanging="360"/>
      </w:pPr>
      <w:r>
        <w:rPr>
          <w:color w:val="555F70"/>
          <w:sz w:val="20"/>
        </w:rPr>
        <w:t xml:space="preserve">6.  </w:t>
      </w:r>
      <w:r>
        <w:rPr>
          <w:rFonts w:ascii="Consolas" w:hAnsi="Consolas"/>
          <w:color w:val="1B4060"/>
          <w:sz w:val="18"/>
        </w:rPr>
        <w:t>np.bincount(years, weights=losses)</w:t>
      </w:r>
      <w:r>
        <w:rPr>
          <w:sz w:val="20"/>
        </w:rPr>
        <w:t xml:space="preserve"> — replie les incidents dans leur année.</w:t>
      </w:r>
    </w:p>
    <w:p>
      <w:pPr>
        <w:spacing w:after="40"/>
        <w:ind w:left="640" w:hanging="360"/>
      </w:pPr>
      <w:r>
        <w:rPr>
          <w:color w:val="555F70"/>
          <w:sz w:val="20"/>
        </w:rPr>
        <w:t xml:space="preserve">7.  </w:t>
      </w:r>
      <w:r>
        <w:rPr>
          <w:rFonts w:ascii="Consolas" w:hAnsi="Consolas"/>
          <w:color w:val="1B4060"/>
          <w:sz w:val="18"/>
        </w:rPr>
        <w:t>summarize(annual_losses)</w:t>
      </w:r>
      <w:r>
        <w:rPr>
          <w:sz w:val="20"/>
        </w:rPr>
        <w:t xml:space="preserve"> — AAL, médiane, VaR, TVaR, P(aucune perte), maximum.</w:t>
      </w:r>
    </w:p>
    <w:p>
      <w:pPr>
        <w:spacing w:after="40"/>
        <w:ind w:left="640" w:hanging="360"/>
      </w:pPr>
      <w:r>
        <w:rPr>
          <w:color w:val="555F70"/>
          <w:sz w:val="20"/>
        </w:rPr>
        <w:t xml:space="preserve">8.  </w:t>
      </w:r>
      <w:r>
        <w:rPr>
          <w:rFonts w:ascii="Consolas" w:hAnsi="Consolas"/>
          <w:color w:val="1B4060"/>
          <w:sz w:val="18"/>
        </w:rPr>
        <w:t>exceedance_curve(series, kind)</w:t>
      </w:r>
      <w:r>
        <w:rPr>
          <w:sz w:val="20"/>
        </w:rPr>
        <w:t xml:space="preserve"> — courbes AEP (total) et OEP (pire perte unitaire).</w:t>
      </w:r>
    </w:p>
    <w:p>
      <w:pPr>
        <w:spacing w:after="40"/>
        <w:ind w:left="640" w:hanging="360"/>
      </w:pPr>
      <w:r>
        <w:rPr>
          <w:color w:val="555F70"/>
          <w:sz w:val="20"/>
        </w:rPr>
        <w:t xml:space="preserve">9.  </w:t>
      </w:r>
      <w:r>
        <w:rPr>
          <w:rFonts w:ascii="Consolas" w:hAnsi="Consolas"/>
          <w:color w:val="1B4060"/>
          <w:sz w:val="18"/>
        </w:rPr>
        <w:t>SimulationResult.histogram(scale='log')</w:t>
      </w:r>
      <w:r>
        <w:rPr>
          <w:sz w:val="20"/>
        </w:rPr>
        <w:t xml:space="preserve"> — bins log, années à zéro comptées à part.</w:t>
      </w:r>
    </w:p>
    <w:p>
      <w:pPr>
        <w:spacing w:after="40"/>
        <w:ind w:left="640" w:hanging="360"/>
      </w:pPr>
      <w:r>
        <w:rPr>
          <w:color w:val="555F70"/>
          <w:sz w:val="20"/>
        </w:rPr>
        <w:t xml:space="preserve">10. </w:t>
      </w:r>
      <w:r>
        <w:rPr>
          <w:rFonts w:ascii="Consolas" w:hAnsi="Consolas"/>
          <w:color w:val="1B4060"/>
          <w:sz w:val="18"/>
        </w:rPr>
        <w:t>sensitivity_grid()</w:t>
      </w:r>
      <w:r>
        <w:rPr>
          <w:sz w:val="20"/>
        </w:rPr>
        <w:t xml:space="preserve"> — rejoue seuil × fenêtre et rapporte l'AAL de chaque case.</w:t>
      </w:r>
    </w:p>
    <w:p>
      <w:pPr>
        <w:pStyle w:val="Heading3"/>
        <w:keepNext/>
        <w:pageBreakBefore w:val="0"/>
        <w:spacing w:before="160" w:after="80"/>
      </w:pPr>
      <w:r>
        <w:rPr>
          <w:rFonts w:ascii="Calibri" w:hAnsi="Calibri"/>
          <w:b/>
          <w:color w:val="111827"/>
          <w:sz w:val="24"/>
        </w:rPr>
        <w:t>Les maths</w:t>
      </w:r>
    </w:p>
    <w:p>
      <w:pPr>
        <w:pStyle w:val="ListBullet"/>
        <w:spacing w:after="40"/>
        <w:ind w:left="360"/>
      </w:pPr>
      <w:r>
        <w:rPr>
          <w:b/>
          <w:sz w:val="20"/>
        </w:rPr>
        <w:t>Loi de Poisson composée.</w:t>
      </w:r>
      <w:r>
        <w:rPr>
          <w:sz w:val="20"/>
        </w:rPr>
        <w:t xml:space="preserve"> La perte annuelle est une somme d'un nombre aléatoire de termes aléatoires :</w:t>
      </w:r>
    </w:p>
    <w:p>
      <w:pPr>
        <w:spacing w:before="60" w:after="120"/>
        <w:ind w:left="280"/>
      </w:pPr>
      <w:r>
        <w:rPr>
          <w:rFonts w:ascii="Consolas" w:hAnsi="Consolas"/>
          <w:color w:val="1B4060"/>
          <w:sz w:val="18"/>
        </w:rPr>
        <w:t>S = Σᵢ₌₁ᴺ Xᵢ    avec N ~ Poisson(λ)  et  Xᵢ ~ Lognormale(mu, sigma)</w:t>
      </w:r>
    </w:p>
    <w:p>
      <w:pPr>
        <w:pStyle w:val="ListBullet"/>
        <w:spacing w:after="40"/>
        <w:ind w:left="360"/>
      </w:pPr>
      <w:r>
        <w:rPr>
          <w:b/>
          <w:sz w:val="20"/>
        </w:rPr>
        <w:t>Composer, pas multiplier.</w:t>
      </w:r>
      <w:r>
        <w:rPr>
          <w:sz w:val="20"/>
        </w:rPr>
        <w:t xml:space="preserve"> Une année n'est pas « fréquence × coût moyen » : c'est zéro incident </w:t>
      </w:r>
      <w:r>
        <w:rPr>
          <w:b/>
          <w:sz w:val="20"/>
        </w:rPr>
        <w:t>73,7 % des années</w:t>
      </w:r>
      <w:r>
        <w:rPr>
          <w:sz w:val="20"/>
        </w:rPr>
        <w:t>, un parfois, deux très rarement — et la somme de ces cas n'est pas le produit des moyennes.</w:t>
      </w:r>
    </w:p>
    <w:p>
      <w:pPr>
        <w:pStyle w:val="ListBullet"/>
        <w:spacing w:after="40"/>
        <w:ind w:left="360"/>
      </w:pPr>
      <w:r>
        <w:rPr>
          <w:b/>
          <w:sz w:val="20"/>
        </w:rPr>
        <w:t>Pourquoi simuler et pas une formule.</w:t>
      </w:r>
      <w:r>
        <w:rPr>
          <w:sz w:val="20"/>
        </w:rPr>
        <w:t xml:space="preserve"> L'espérance est analytique (formule de Wald : </w:t>
      </w:r>
      <w:r>
        <w:rPr>
          <w:rFonts w:ascii="Consolas" w:hAnsi="Consolas"/>
          <w:color w:val="1B4060"/>
          <w:sz w:val="18"/>
        </w:rPr>
        <w:t>E[S] = λ × E[X]</w:t>
      </w:r>
      <w:r>
        <w:rPr>
          <w:sz w:val="20"/>
        </w:rPr>
        <w:t xml:space="preserve">), mais la </w:t>
      </w:r>
      <w:r>
        <w:rPr>
          <w:b/>
          <w:sz w:val="20"/>
        </w:rPr>
        <w:t>fonction de répartition de S n'a pas de forme fermée</w:t>
      </w:r>
      <w:r>
        <w:rPr>
          <w:sz w:val="20"/>
        </w:rPr>
        <w:t>. Or VaR 99 et TVaR 99 sont des quantiles de S. Il faut la distribution complète.</w:t>
      </w:r>
    </w:p>
    <w:p>
      <w:pPr>
        <w:pStyle w:val="ListBullet"/>
        <w:spacing w:after="40"/>
        <w:ind w:left="360"/>
      </w:pPr>
      <w:r>
        <w:rPr>
          <w:b/>
          <w:sz w:val="20"/>
        </w:rPr>
        <w:t>Ce qui fixe le nombre d'années</w:t>
      </w:r>
      <w:r>
        <w:rPr>
          <w:sz w:val="20"/>
        </w:rPr>
        <w:t xml:space="preserve"> : la VaR 99 ne s'appuie que sur 1 % des années. Sur 100 000 années, cela fait 1 000 observations ; sur 1 000 années, dix — inutilisable. C'est la queue qui décide, pas la moyenne.</w:t>
      </w:r>
    </w:p>
    <w:p>
      <w:pPr>
        <w:pStyle w:val="ListBullet"/>
        <w:spacing w:after="40"/>
        <w:ind w:left="360"/>
      </w:pPr>
      <w:r>
        <w:rPr>
          <w:b/>
          <w:sz w:val="20"/>
        </w:rPr>
        <w:t>Métriques</w:t>
      </w:r>
      <w:r>
        <w:rPr>
          <w:sz w:val="20"/>
        </w:rPr>
        <w:t xml:space="preserve"> : </w:t>
      </w:r>
      <w:r>
        <w:rPr>
          <w:rFonts w:ascii="Consolas" w:hAnsi="Consolas"/>
          <w:color w:val="1B4060"/>
          <w:sz w:val="18"/>
        </w:rPr>
        <w:t>VaR_α</w:t>
      </w:r>
      <w:r>
        <w:rPr>
          <w:sz w:val="20"/>
        </w:rPr>
        <w:t xml:space="preserve"> = quantile d'ordre α ; </w:t>
      </w:r>
      <w:r>
        <w:rPr>
          <w:rFonts w:ascii="Consolas" w:hAnsi="Consolas"/>
          <w:color w:val="1B4060"/>
          <w:sz w:val="18"/>
        </w:rPr>
        <w:t>TVaR_α</w:t>
      </w:r>
      <w:r>
        <w:rPr>
          <w:sz w:val="20"/>
        </w:rPr>
        <w:t xml:space="preserve"> = </w:t>
      </w:r>
      <w:r>
        <w:rPr>
          <w:rFonts w:ascii="Consolas" w:hAnsi="Consolas"/>
          <w:color w:val="1B4060"/>
          <w:sz w:val="18"/>
        </w:rPr>
        <w:t>E[S | S ≥ VaR_α]</w:t>
      </w:r>
      <w:r>
        <w:rPr>
          <w:sz w:val="20"/>
        </w:rPr>
        <w:t xml:space="preserve">. </w:t>
      </w:r>
      <w:r>
        <w:rPr>
          <w:rFonts w:ascii="Consolas" w:hAnsi="Consolas"/>
          <w:color w:val="1B4060"/>
          <w:sz w:val="18"/>
        </w:rPr>
        <w:t>TVaR ≥ VaR</w:t>
      </w:r>
      <w:r>
        <w:rPr>
          <w:sz w:val="20"/>
        </w:rPr>
        <w:t xml:space="preserve"> par construction — c'est une invariante testée.</w:t>
      </w:r>
    </w:p>
    <w:p>
      <w:pPr>
        <w:pStyle w:val="ListBullet"/>
        <w:spacing w:after="40"/>
        <w:ind w:left="360"/>
      </w:pPr>
      <w:r>
        <w:rPr>
          <w:b/>
          <w:sz w:val="20"/>
        </w:rPr>
        <w:t>AEP vs OEP.</w:t>
      </w:r>
      <w:r>
        <w:rPr>
          <w:sz w:val="20"/>
        </w:rPr>
        <w:t xml:space="preserve"> AEP = total de l'année ; OEP = plus grosse perte unitaire de l'année. L'OEP ne peut jamais dépasser l'AEP à probabilité égale, et leur écart mesure la part des années à plusieurs incidents.</w:t>
      </w:r>
    </w:p>
    <w:p>
      <w:pPr>
        <w:pStyle w:val="ListBullet"/>
        <w:spacing w:after="40"/>
        <w:ind w:left="360"/>
      </w:pPr>
      <w:r>
        <w:rPr>
          <w:b/>
          <w:sz w:val="20"/>
        </w:rPr>
        <w:t>Plafond de plausibilité.</w:t>
      </w:r>
      <w:r>
        <w:rPr>
          <w:sz w:val="20"/>
        </w:rPr>
        <w:t xml:space="preserve"> Une lognormale n'a pas de borne : à sigma 2,582 et sur 100 000 années, elle finit par tirer un incident coûtant plus que l'entreprise ne vaut (3,8 Md€ sans plafond). Chaque perte est donc écrêtée à </w:t>
      </w:r>
      <w:r>
        <w:rPr>
          <w:b/>
          <w:sz w:val="20"/>
        </w:rPr>
        <w:t>23,5 M€</w:t>
      </w:r>
      <w:r>
        <w:rPr>
          <w:sz w:val="20"/>
        </w:rPr>
        <w:t>, le 99,9ᵉ centile des pertes réellement observées chez les pairs — 0,9 % des tirages sont concernés.</w:t>
      </w:r>
    </w:p>
    <w:p>
      <w:pPr>
        <w:pStyle w:val="ListBullet"/>
        <w:spacing w:after="40"/>
        <w:ind w:left="360"/>
      </w:pPr>
      <w:r>
        <w:rPr>
          <w:b/>
          <w:sz w:val="20"/>
        </w:rPr>
        <w:t>L'effet du plafond est rapporté, pas absorbé</w:t>
      </w:r>
      <w:r>
        <w:rPr>
          <w:sz w:val="20"/>
        </w:rPr>
        <w:t xml:space="preserve"> : le résultat porte </w:t>
      </w:r>
      <w:r>
        <w:rPr>
          <w:rFonts w:ascii="Consolas" w:hAnsi="Consolas"/>
          <w:color w:val="1B4060"/>
          <w:sz w:val="18"/>
        </w:rPr>
        <w:t>draws_capped</w:t>
      </w:r>
      <w:r>
        <w:rPr>
          <w:sz w:val="20"/>
        </w:rPr>
        <w:t xml:space="preserve">, </w:t>
      </w:r>
      <w:r>
        <w:rPr>
          <w:rFonts w:ascii="Consolas" w:hAnsi="Consolas"/>
          <w:color w:val="1B4060"/>
          <w:sz w:val="18"/>
        </w:rPr>
        <w:t>draws_total</w:t>
      </w:r>
      <w:r>
        <w:rPr>
          <w:sz w:val="20"/>
        </w:rPr>
        <w:t xml:space="preserve"> et </w:t>
      </w:r>
      <w:r>
        <w:rPr>
          <w:rFonts w:ascii="Consolas" w:hAnsi="Consolas"/>
          <w:color w:val="1B4060"/>
          <w:sz w:val="18"/>
        </w:rPr>
        <w:t>aal_uncapped</w:t>
      </w:r>
      <w:r>
        <w:rPr>
          <w:sz w:val="20"/>
        </w:rPr>
        <w:t>.</w:t>
      </w:r>
    </w:p>
    <w:p>
      <w:pPr>
        <w:pStyle w:val="Heading3"/>
        <w:keepNext/>
        <w:pageBreakBefore w:val="0"/>
        <w:spacing w:before="160" w:after="80"/>
      </w:pPr>
      <w:r>
        <w:rPr>
          <w:rFonts w:ascii="Calibri" w:hAnsi="Calibri"/>
          <w:b/>
          <w:color w:val="111827"/>
          <w:sz w:val="24"/>
        </w:rPr>
        <w:t>Chiffres produits</w:t>
      </w:r>
    </w:p>
    <w:tbl>
      <w:tblPr>
        <w:tblStyle w:val="LightGrid-Accent1"/>
        <w:tblW w:type="auto" w:w="0"/>
        <w:jc w:val="left"/>
        <w:tblLook w:firstColumn="1" w:firstRow="1" w:lastColumn="0" w:lastRow="0" w:noHBand="0" w:noVBand="1" w:val="04A0"/>
      </w:tblPr>
      <w:tblGrid>
        <w:gridCol w:w="3360"/>
        <w:gridCol w:w="3360"/>
        <w:gridCol w:w="3360"/>
      </w:tblGrid>
      <w:tr>
        <w:tc>
          <w:tcPr>
            <w:tcW w:type="dxa" w:w="3360"/>
          </w:tcPr>
          <w:p>
            <w:r/>
            <w:r>
              <w:rPr>
                <w:b/>
                <w:sz w:val="18"/>
              </w:rPr>
              <w:t>Mesure</w:t>
            </w:r>
          </w:p>
        </w:tc>
        <w:tc>
          <w:tcPr>
            <w:tcW w:type="dxa" w:w="3360"/>
          </w:tcPr>
          <w:p>
            <w:r/>
            <w:r>
              <w:rPr>
                <w:b/>
                <w:sz w:val="18"/>
              </w:rPr>
              <w:t>Valeur</w:t>
            </w:r>
          </w:p>
        </w:tc>
        <w:tc>
          <w:tcPr>
            <w:tcW w:type="dxa" w:w="3360"/>
          </w:tcPr>
          <w:p>
            <w:r/>
            <w:r>
              <w:rPr>
                <w:b/>
                <w:sz w:val="18"/>
              </w:rPr>
              <w:t>Lecture métier</w:t>
            </w:r>
          </w:p>
        </w:tc>
      </w:tr>
      <w:tr>
        <w:tc>
          <w:tcPr>
            <w:tcW w:type="dxa" w:w="3360"/>
          </w:tcPr>
          <w:p>
            <w:r>
              <w:rPr>
                <w:sz w:val="18"/>
              </w:rPr>
            </w:r>
            <w:r>
              <w:rPr>
                <w:sz w:val="18"/>
              </w:rPr>
              <w:t>AAL</w:t>
            </w:r>
          </w:p>
        </w:tc>
        <w:tc>
          <w:tcPr>
            <w:tcW w:type="dxa" w:w="3360"/>
          </w:tcPr>
          <w:p>
            <w:r>
              <w:rPr>
                <w:sz w:val="18"/>
              </w:rPr>
            </w:r>
            <w:r>
              <w:rPr>
                <w:sz w:val="18"/>
              </w:rPr>
              <w:t>274 k€</w:t>
            </w:r>
          </w:p>
        </w:tc>
        <w:tc>
          <w:tcPr>
            <w:tcW w:type="dxa" w:w="3360"/>
          </w:tcPr>
          <w:p>
            <w:r>
              <w:rPr>
                <w:sz w:val="18"/>
              </w:rPr>
            </w:r>
            <w:r>
              <w:rPr>
                <w:sz w:val="18"/>
              </w:rPr>
              <w:t>ligne budgétaire</w:t>
            </w:r>
          </w:p>
        </w:tc>
      </w:tr>
      <w:tr>
        <w:tc>
          <w:tcPr>
            <w:tcW w:type="dxa" w:w="3360"/>
          </w:tcPr>
          <w:p>
            <w:r>
              <w:rPr>
                <w:sz w:val="18"/>
              </w:rPr>
            </w:r>
            <w:r>
              <w:rPr>
                <w:sz w:val="18"/>
              </w:rPr>
              <w:t>Année médiane</w:t>
            </w:r>
          </w:p>
        </w:tc>
        <w:tc>
          <w:tcPr>
            <w:tcW w:type="dxa" w:w="3360"/>
          </w:tcPr>
          <w:p>
            <w:r>
              <w:rPr>
                <w:sz w:val="18"/>
              </w:rPr>
            </w:r>
            <w:r>
              <w:rPr>
                <w:sz w:val="18"/>
              </w:rPr>
              <w:t>0 €</w:t>
            </w:r>
          </w:p>
        </w:tc>
        <w:tc>
          <w:tcPr>
            <w:tcW w:type="dxa" w:w="3360"/>
          </w:tcPr>
          <w:p>
            <w:r>
              <w:rPr>
                <w:sz w:val="18"/>
              </w:rPr>
            </w:r>
            <w:r>
              <w:rPr>
                <w:sz w:val="18"/>
              </w:rPr>
              <w:t>73,7 % des années sans incident</w:t>
            </w:r>
          </w:p>
        </w:tc>
      </w:tr>
      <w:tr>
        <w:tc>
          <w:tcPr>
            <w:tcW w:type="dxa" w:w="3360"/>
          </w:tcPr>
          <w:p>
            <w:r>
              <w:rPr>
                <w:sz w:val="18"/>
              </w:rPr>
            </w:r>
            <w:r>
              <w:rPr>
                <w:sz w:val="18"/>
              </w:rPr>
              <w:t>VaR 95</w:t>
            </w:r>
          </w:p>
        </w:tc>
        <w:tc>
          <w:tcPr>
            <w:tcW w:type="dxa" w:w="3360"/>
          </w:tcPr>
          <w:p>
            <w:r>
              <w:rPr>
                <w:sz w:val="18"/>
              </w:rPr>
            </w:r>
            <w:r>
              <w:rPr>
                <w:sz w:val="18"/>
              </w:rPr>
              <w:t>816 k€</w:t>
            </w:r>
          </w:p>
        </w:tc>
        <w:tc>
          <w:tcPr>
            <w:tcW w:type="dxa" w:w="3360"/>
          </w:tcPr>
          <w:p>
            <w:r>
              <w:rPr>
                <w:sz w:val="18"/>
              </w:rPr>
            </w:r>
            <w:r>
              <w:rPr>
                <w:sz w:val="18"/>
              </w:rPr>
              <w:t>appétit au risque — 1 année sur 20</w:t>
            </w:r>
          </w:p>
        </w:tc>
      </w:tr>
      <w:tr>
        <w:tc>
          <w:tcPr>
            <w:tcW w:type="dxa" w:w="3360"/>
          </w:tcPr>
          <w:p>
            <w:r>
              <w:rPr>
                <w:sz w:val="18"/>
              </w:rPr>
            </w:r>
            <w:r>
              <w:rPr>
                <w:sz w:val="18"/>
              </w:rPr>
              <w:t>TVaR 95</w:t>
            </w:r>
          </w:p>
        </w:tc>
        <w:tc>
          <w:tcPr>
            <w:tcW w:type="dxa" w:w="3360"/>
          </w:tcPr>
          <w:p>
            <w:r>
              <w:rPr>
                <w:sz w:val="18"/>
              </w:rPr>
            </w:r>
            <w:r>
              <w:rPr>
                <w:sz w:val="18"/>
              </w:rPr>
              <w:t>4,8 M€</w:t>
            </w:r>
          </w:p>
        </w:tc>
        <w:tc>
          <w:tcPr>
            <w:tcW w:type="dxa" w:w="3360"/>
          </w:tcPr>
          <w:p>
            <w:r>
              <w:rPr>
                <w:sz w:val="18"/>
              </w:rPr>
            </w:r>
            <w:r>
              <w:rPr>
                <w:sz w:val="18"/>
              </w:rPr>
              <w:t>moyenne des 5 % pires années</w:t>
            </w:r>
          </w:p>
        </w:tc>
      </w:tr>
      <w:tr>
        <w:tc>
          <w:tcPr>
            <w:tcW w:type="dxa" w:w="3360"/>
          </w:tcPr>
          <w:p>
            <w:r>
              <w:rPr>
                <w:sz w:val="18"/>
              </w:rPr>
            </w:r>
            <w:r>
              <w:rPr>
                <w:sz w:val="18"/>
              </w:rPr>
              <w:t>VaR 99</w:t>
            </w:r>
          </w:p>
        </w:tc>
        <w:tc>
          <w:tcPr>
            <w:tcW w:type="dxa" w:w="3360"/>
          </w:tcPr>
          <w:p>
            <w:r>
              <w:rPr>
                <w:sz w:val="18"/>
              </w:rPr>
            </w:r>
            <w:r>
              <w:rPr>
                <w:sz w:val="18"/>
              </w:rPr>
              <w:t>6,7 M€</w:t>
            </w:r>
          </w:p>
        </w:tc>
        <w:tc>
          <w:tcPr>
            <w:tcW w:type="dxa" w:w="3360"/>
          </w:tcPr>
          <w:p>
            <w:r>
              <w:rPr>
                <w:sz w:val="18"/>
              </w:rPr>
            </w:r>
            <w:r>
              <w:rPr>
                <w:sz w:val="18"/>
              </w:rPr>
              <w:t>1 année sur 100</w:t>
            </w:r>
          </w:p>
        </w:tc>
      </w:tr>
      <w:tr>
        <w:tc>
          <w:tcPr>
            <w:tcW w:type="dxa" w:w="3360"/>
          </w:tcPr>
          <w:p>
            <w:r>
              <w:rPr>
                <w:sz w:val="18"/>
              </w:rPr>
            </w:r>
            <w:r>
              <w:rPr>
                <w:sz w:val="18"/>
              </w:rPr>
              <w:t>TVaR 99</w:t>
            </w:r>
          </w:p>
        </w:tc>
        <w:tc>
          <w:tcPr>
            <w:tcW w:type="dxa" w:w="3360"/>
          </w:tcPr>
          <w:p>
            <w:r>
              <w:rPr>
                <w:sz w:val="18"/>
              </w:rPr>
            </w:r>
            <w:r>
              <w:rPr>
                <w:sz w:val="18"/>
              </w:rPr>
              <w:t>15,1 M€</w:t>
            </w:r>
          </w:p>
        </w:tc>
        <w:tc>
          <w:tcPr>
            <w:tcW w:type="dxa" w:w="3360"/>
          </w:tcPr>
          <w:p>
            <w:r>
              <w:rPr>
                <w:sz w:val="18"/>
              </w:rPr>
            </w:r>
            <w:r>
              <w:rPr>
                <w:sz w:val="18"/>
              </w:rPr>
              <w:t>question de survie</w:t>
            </w:r>
          </w:p>
        </w:tc>
      </w:tr>
    </w:tbl>
    <w:p>
      <w:pPr>
        <w:spacing w:after="40"/>
      </w:pPr>
    </w:p>
    <w:p>
      <w:r>
        <w:rPr>
          <w:i w:val="0"/>
          <w:color w:val="555F70"/>
          <w:sz w:val="19"/>
        </w:rPr>
        <w:t>Le rapport TVaR 95 / VaR 95 vaut 5,9 : une fois passé le seuil de la mauvaise année, la perte typique est presque six fois ce seuil. C'est la définition d'une queue lourde.</w:t>
      </w:r>
    </w:p>
    <w:p>
      <w:pPr>
        <w:spacing w:before="80" w:after="200"/>
        <w:ind w:left="240"/>
      </w:pPr>
      <w:r>
        <w:rPr>
          <w:b/>
          <w:color w:val="0B63A6"/>
          <w:sz w:val="17"/>
        </w:rPr>
        <w:t xml:space="preserve">À DIRE  </w:t>
      </w:r>
      <w:r>
        <w:rPr>
          <w:i/>
          <w:sz w:val="20"/>
        </w:rPr>
        <w:t>Pour chaque année simulée je tire un nombre d'incidents par type dans une loi de Poisson, je prix chaque incident dans la lognormale de son type, et je somme. Cent mille années, graine 42, reproductible au centime. Je simule plutôt que d'appliquer une formule parce que l'espérance est analytique mais pas les quantiles : VaR 99 et TVaR 99 demandent la distribution complète. Et je plafonne chaque perte unitaire au 99,9ᵉ centile des pertes observées chez les pairs, parce qu'une lognormale non bornée finit par tirer une année à 3,8 milliards pour une ETI de 1 200 personnes — le plafond retire 37,5 % de l'AAL, et je l'affiche plutôt que de l'absorber.</w:t>
      </w:r>
    </w:p>
    <w:p>
      <w:pPr>
        <w:pStyle w:val="Heading2"/>
        <w:keepNext/>
        <w:pageBreakBefore/>
        <w:spacing w:before="240" w:after="80"/>
      </w:pPr>
      <w:r>
        <w:rPr>
          <w:rFonts w:ascii="Calibri" w:hAnsi="Calibri"/>
          <w:b/>
          <w:color w:val="0B63A6"/>
          <w:sz w:val="30"/>
        </w:rPr>
        <w:t>Aide-mémoire : cinq questions, cinq réponses de trente secondes</w:t>
      </w:r>
    </w:p>
    <w:tbl>
      <w:tblPr>
        <w:tblStyle w:val="LightGrid-Accent1"/>
        <w:tblW w:type="auto" w:w="0"/>
        <w:jc w:val="left"/>
        <w:tblLook w:firstColumn="1" w:firstRow="1" w:lastColumn="0" w:lastRow="0" w:noHBand="0" w:noVBand="1" w:val="04A0"/>
      </w:tblPr>
      <w:tblGrid>
        <w:gridCol w:w="5040"/>
        <w:gridCol w:w="5040"/>
      </w:tblGrid>
      <w:tr>
        <w:tc>
          <w:tcPr>
            <w:tcW w:type="dxa" w:w="5040"/>
          </w:tcPr>
          <w:p>
            <w:r/>
            <w:r>
              <w:rPr>
                <w:b/>
                <w:sz w:val="18"/>
              </w:rPr>
              <w:t>Question</w:t>
            </w:r>
          </w:p>
        </w:tc>
        <w:tc>
          <w:tcPr>
            <w:tcW w:type="dxa" w:w="5040"/>
          </w:tcPr>
          <w:p>
            <w:r/>
            <w:r>
              <w:rPr>
                <w:b/>
                <w:sz w:val="18"/>
              </w:rPr>
              <w:t>Réponse</w:t>
            </w:r>
          </w:p>
        </w:tc>
      </w:tr>
      <w:tr>
        <w:tc>
          <w:tcPr>
            <w:tcW w:type="dxa" w:w="5040"/>
          </w:tcPr>
          <w:p>
            <w:r>
              <w:rPr>
                <w:sz w:val="18"/>
              </w:rPr>
            </w:r>
            <w:r>
              <w:rPr>
                <w:sz w:val="18"/>
              </w:rPr>
              <w:t>Pourquoi dédoublonner ?</w:t>
            </w:r>
          </w:p>
        </w:tc>
        <w:tc>
          <w:tcPr>
            <w:tcW w:type="dxa" w:w="5040"/>
          </w:tcPr>
          <w:p>
            <w:r>
              <w:rPr>
                <w:sz w:val="18"/>
              </w:rPr>
            </w:r>
            <w:r>
              <w:rPr>
                <w:sz w:val="18"/>
              </w:rPr>
              <w:t>12 343 événements sont vus par les deux flux. Concaténer gonflerait toutes les fréquences de 42,4 %.</w:t>
            </w:r>
          </w:p>
        </w:tc>
      </w:tr>
      <w:tr>
        <w:tc>
          <w:tcPr>
            <w:tcW w:type="dxa" w:w="5040"/>
          </w:tcPr>
          <w:p>
            <w:r>
              <w:rPr>
                <w:sz w:val="18"/>
              </w:rPr>
            </w:r>
            <w:r>
              <w:rPr>
                <w:sz w:val="18"/>
              </w:rPr>
              <w:t>Pourquoi des épisodes ?</w:t>
            </w:r>
          </w:p>
        </w:tc>
        <w:tc>
          <w:tcPr>
            <w:tcW w:type="dxa" w:w="5040"/>
          </w:tcPr>
          <w:p>
            <w:r>
              <w:rPr>
                <w:sz w:val="18"/>
              </w:rPr>
            </w:r>
            <w:r>
              <w:rPr>
                <w:sz w:val="18"/>
              </w:rPr>
              <w:t>Une intrusion produit une rafale d'alertes. Compter les alertes mesurerait le bavardage des sondes, pas la fréquence des attaques.</w:t>
            </w:r>
          </w:p>
        </w:tc>
      </w:tr>
      <w:tr>
        <w:tc>
          <w:tcPr>
            <w:tcW w:type="dxa" w:w="5040"/>
          </w:tcPr>
          <w:p>
            <w:r>
              <w:rPr>
                <w:sz w:val="18"/>
              </w:rPr>
            </w:r>
            <w:r>
              <w:rPr>
                <w:sz w:val="18"/>
              </w:rPr>
              <w:t>Pourquoi une calibration ?</w:t>
            </w:r>
          </w:p>
        </w:tc>
        <w:tc>
          <w:tcPr>
            <w:tcW w:type="dxa" w:w="5040"/>
          </w:tcPr>
          <w:p>
            <w:r>
              <w:rPr>
                <w:sz w:val="18"/>
              </w:rPr>
            </w:r>
            <w:r>
              <w:rPr>
                <w:sz w:val="18"/>
              </w:rPr>
              <w:t>La télémétrie compte des attaques détectées, la base externe des incidents à perte. Multiplier les deux directement est une erreur de catégorie — c'est ce qui donnait 12,5 Md€.</w:t>
            </w:r>
          </w:p>
        </w:tc>
      </w:tr>
      <w:tr>
        <w:tc>
          <w:tcPr>
            <w:tcW w:type="dxa" w:w="5040"/>
          </w:tcPr>
          <w:p>
            <w:r>
              <w:rPr>
                <w:sz w:val="18"/>
              </w:rPr>
            </w:r>
            <w:r>
              <w:rPr>
                <w:sz w:val="18"/>
              </w:rPr>
              <w:t>Pourquoi pondérer plutôt que filtrer ?</w:t>
            </w:r>
          </w:p>
        </w:tc>
        <w:tc>
          <w:tcPr>
            <w:tcW w:type="dxa" w:w="5040"/>
          </w:tcPr>
          <w:p>
            <w:r>
              <w:rPr>
                <w:sz w:val="18"/>
              </w:rPr>
            </w:r>
            <w:r>
              <w:rPr>
                <w:sz w:val="18"/>
              </w:rPr>
              <w:t>Le filtre exact ne laisse que 112 incidents et aucun type modélisable. La pondération garde tout le monde, les plus proches dominant.</w:t>
            </w:r>
          </w:p>
        </w:tc>
      </w:tr>
      <w:tr>
        <w:tc>
          <w:tcPr>
            <w:tcW w:type="dxa" w:w="5040"/>
          </w:tcPr>
          <w:p>
            <w:r>
              <w:rPr>
                <w:sz w:val="18"/>
              </w:rPr>
            </w:r>
            <w:r>
              <w:rPr>
                <w:sz w:val="18"/>
              </w:rPr>
              <w:t>Pourquoi Monte Carlo ?</w:t>
            </w:r>
          </w:p>
        </w:tc>
        <w:tc>
          <w:tcPr>
            <w:tcW w:type="dxa" w:w="5040"/>
          </w:tcPr>
          <w:p>
            <w:r>
              <w:rPr>
                <w:sz w:val="18"/>
              </w:rPr>
            </w:r>
            <w:r>
              <w:rPr>
                <w:sz w:val="18"/>
              </w:rPr>
              <w:t>L'espérance a une formule, les quantiles non. VaR 99 et TVaR 99 exigent la distribution complète de la loi composée.</w:t>
            </w:r>
          </w:p>
        </w:tc>
      </w:tr>
    </w:tbl>
    <w:p>
      <w:pPr>
        <w:spacing w:after="40"/>
      </w:pPr>
    </w:p>
    <w:p>
      <w:r>
        <w:rPr>
          <w:i/>
          <w:color w:val="555F70"/>
          <w:sz w:val="18"/>
        </w:rPr>
        <w:t>Détail des concepts mathématiques : CONCEPTS.md. Décisions de modélisation et justifications : METHODOLOGY.md. Ce qui n'a pas été fait et pourquoi : next_steps.md.</w:t>
      </w: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4" w:lineRule="auto"/>
    </w:pPr>
    <w:rPr>
      <w:rFonts w:ascii="Calibri" w:hAnsi="Calibri" w:eastAsia="Calibri"/>
      <w:color w:val="11182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