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spacing w:after="80" w:before="0"/>
      </w:pPr>
    </w:p>
    <w:p>
      <w:pPr>
        <w:spacing w:after="80" w:before="0"/>
      </w:pPr>
    </w:p>
    <w:p>
      <w:pPr>
        <w:spacing w:after="80" w:before="0"/>
      </w:pPr>
    </w:p>
    <w:p>
      <w:pPr>
        <w:spacing w:after="80" w:before="0"/>
        <w:jc w:val="center"/>
      </w:pPr>
      <w:r>
        <w:rPr>
          <w:rFonts w:ascii="Arial" w:cs="Arial" w:eastAsia="Arial" w:hAnsi="Arial"/>
          <w:b/>
          <w:bCs/>
          <w:color w:val="1F3864"/>
          <w:sz w:val="64"/>
          <w:szCs w:val="64"/>
        </w:rPr>
        <w:t xml:space="preserve">DEPOT</w:t>
      </w:r>
    </w:p>
    <w:p>
      <w:pPr>
        <w:spacing w:after="120" w:before="0"/>
        <w:jc w:val="center"/>
      </w:pPr>
      <w:r>
        <w:rPr>
          <w:rFonts w:ascii="Arial" w:cs="Arial" w:eastAsia="Arial" w:hAnsi="Arial"/>
          <w:color w:val="1D4ED8"/>
          <w:sz w:val="48"/>
          <w:szCs w:val="48"/>
        </w:rPr>
        <w:t xml:space="preserve">Store Pre-Sizing Model</w:t>
      </w:r>
    </w:p>
    <w:p>
      <w:pPr>
        <w:spacing w:after="80" w:before="0"/>
        <w:jc w:val="center"/>
      </w:pPr>
      <w:r>
        <w:rPr>
          <w:rFonts w:ascii="Arial" w:cs="Arial" w:eastAsia="Arial" w:hAnsi="Arial"/>
          <w:color w:val="64748B"/>
          <w:sz w:val="36"/>
          <w:szCs w:val="36"/>
        </w:rPr>
        <w:t xml:space="preserve">User Guide</w:t>
      </w:r>
    </w:p>
    <w:p>
      <w:pPr>
        <w:pBdr>
          <w:bottom w:val="single" w:color="D1D5DB" w:sz="4" w:space="1"/>
        </w:pBdr>
        <w:spacing w:after="160" w:before="0"/>
      </w:pPr>
    </w:p>
    <w:p>
      <w:pPr>
        <w:spacing w:after="80" w:before="0"/>
      </w:pPr>
    </w:p>
    <w:p>
      <w:pPr>
        <w:jc w:val="center"/>
      </w:pPr>
      <w:r>
        <w:rPr>
          <w:rFonts w:ascii="Arial" w:cs="Arial" w:eastAsia="Arial" w:hAnsi="Arial"/>
          <w:color w:val="64748B"/>
          <w:sz w:val="22"/>
          <w:szCs w:val="22"/>
        </w:rPr>
        <w:t xml:space="preserve">Version 8 — 2026</w:t>
      </w:r>
    </w:p>
    <w:p>
      <w:pPr>
        <w:jc w:val="center"/>
      </w:pPr>
      <w:r>
        <w:rPr>
          <w:rFonts w:ascii="Arial" w:cs="Arial" w:eastAsia="Arial" w:hAnsi="Arial"/>
          <w:b/>
          <w:bCs/>
          <w:color w:val="374151"/>
          <w:sz w:val="22"/>
          <w:szCs w:val="22"/>
        </w:rPr>
        <w:t xml:space="preserve">Created by Mohamed BOUDIA</w:t>
      </w:r>
    </w:p>
    <w:p>
      <w:pPr>
        <w:spacing w:after="80" w:before="0"/>
      </w:pPr>
    </w:p>
    <w:p>
      <w:pPr>
        <w:spacing w:after="80" w:before="0"/>
      </w:pPr>
    </w:p>
    <w:tbl>
      <w:tblPr>
        <w:tblW w:type="dxa" w:w="9026"/>
        <w:tblBorders>
          <w:top w:val="single" w:color="DBEAFE" w:sz="4"/>
          <w:left w:val="none"/>
          <w:bottom w:val="single" w:color="DBEAFE" w:sz="4"/>
          <w:right w:val="none"/>
          <w:insideH w:val="single" w:color="auto" w:sz="4"/>
          <w:insideV w:val="single" w:color="auto" w:sz="4"/>
        </w:tblBorders>
      </w:tblPr>
      <w:tblGrid>
        <w:gridCol w:w="9026"/>
      </w:tblGrid>
      <w:tr>
        <w:tc>
          <w:tcPr>
            <w:tcW w:type="dxa" w:w="9026"/>
            <w:tcBorders>
              <w:top w:val="none"/>
              <w:left w:val="none"/>
              <w:bottom w:val="none"/>
              <w:right w:val="none"/>
            </w:tcBorders>
            <w:shd w:fill="DBEAFE" w:val="clear"/>
            <w:tcMar>
              <w:top w:type="dxa" w:w="160"/>
              <w:left w:type="dxa" w:w="240"/>
              <w:bottom w:type="dxa" w:w="160"/>
              <w:right w:type="dxa" w:w="240"/>
            </w:tcMar>
          </w:tcPr>
          <w:p>
            <w:pPr>
              <w:spacing w:after="0" w:before="0"/>
              <w:jc w:val="center"/>
            </w:pPr>
            <w:r>
              <w:rPr>
                <w:rFonts w:ascii="Arial" w:cs="Arial" w:eastAsia="Arial" w:hAnsi="Arial"/>
                <w:color w:val="374151"/>
                <w:sz w:val="22"/>
                <w:szCs w:val="22"/>
              </w:rPr>
              <w:t xml:space="preserve">This document is the complete user guide for the Depot Store Pre-Sizing Model v8. It covers every tab, every parameter, every formula and every calculation step in detail, so that any user — regardless of prior knowledge — can understand how the tool works and how to use it correctly.</w:t>
            </w:r>
          </w:p>
        </w:tc>
      </w:tr>
    </w:tbl>
    <w:p>
      <w:pPr>
        <w:spacing w:after="0" w:before="0"/>
      </w:pPr>
      <w:r>
        <w:br w:type="page"/>
      </w:r>
    </w:p>
    <w:p>
      <w:pPr>
        <w:pStyle w:val="Heading1"/>
        <w:pBdr>
          <w:bottom w:val="single" w:color="1D4ED8" w:sz="8" w:space="4"/>
        </w:pBdr>
        <w:spacing w:after="20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 \t "Heading 1,1,Heading 2,2"</w:instrText>
            <w:fldChar w:fldCharType="separate"/>
          </w:r>
        </w:p>
        <w:p>
          <w:r>
            <w:fldChar w:fldCharType="end"/>
          </w:r>
        </w:p>
      </w:sdtContent>
    </w:sdt>
    <w:p>
      <w:pPr>
        <w:spacing w:after="0" w:before="0"/>
      </w:pPr>
      <w:r>
        <w:br w:type="page"/>
      </w:r>
    </w:p>
    <w:p>
      <w:pPr>
        <w:pStyle w:val="Heading1"/>
        <w:pBdr>
          <w:bottom w:val="single" w:color="1D4ED8" w:sz="8" w:space="4"/>
        </w:pBdr>
        <w:spacing w:after="200" w:before="360"/>
      </w:pPr>
      <w:r>
        <w:rPr>
          <w:rFonts w:ascii="Arial" w:cs="Arial" w:eastAsia="Arial" w:hAnsi="Arial"/>
          <w:b/>
          <w:bCs/>
          <w:color w:val="1F3864"/>
          <w:sz w:val="32"/>
          <w:szCs w:val="32"/>
        </w:rPr>
        <w:t xml:space="preserve">Chapter 0 — Introduction</w:t>
      </w:r>
    </w:p>
    <w:p>
      <w:pPr>
        <w:pStyle w:val="Heading2"/>
        <w:spacing w:after="120" w:before="280"/>
      </w:pPr>
      <w:r>
        <w:rPr>
          <w:rFonts w:ascii="Arial" w:cs="Arial" w:eastAsia="Arial" w:hAnsi="Arial"/>
          <w:b/>
          <w:bCs/>
          <w:color w:val="1D4ED8"/>
          <w:sz w:val="26"/>
          <w:szCs w:val="26"/>
        </w:rPr>
        <w:t xml:space="preserve">0.1  What is this tool?</w:t>
      </w:r>
    </w:p>
    <w:p>
      <w:pPr>
        <w:spacing w:after="140" w:before="0"/>
      </w:pPr>
      <w:r>
        <w:rPr>
          <w:rFonts w:ascii="Arial" w:cs="Arial" w:eastAsia="Arial" w:hAnsi="Arial"/>
          <w:sz w:val="22"/>
          <w:szCs w:val="22"/>
        </w:rPr>
        <w:t xml:space="preserve">The Depot Store Pre-Sizing Model is a standalone HTML tool that estimates the storage equipment requirements for a railway maintenance depot central store. Given a few project-level inputs — the workshop surface, the useful building height, and the distribution of parts families — the tool automatically calculates how many pallet rack positions, shelving linear metres, cantilever bays, floor storage places, and dedicated zone areas are required.</w:t>
      </w:r>
    </w:p>
    <w:p>
      <w:pPr>
        <w:spacing w:after="80" w:before="0"/>
      </w:pPr>
    </w:p>
    <w:p>
      <w:pPr>
        <w:spacing w:after="140" w:before="0"/>
      </w:pPr>
      <w:r>
        <w:rPr>
          <w:rFonts w:ascii="Arial" w:cs="Arial" w:eastAsia="Arial" w:hAnsi="Arial"/>
          <w:sz w:val="22"/>
          <w:szCs w:val="22"/>
        </w:rPr>
        <w:t xml:space="preserve">The tool replaces a manually-built Excel workbook and improves on it in three ways:</w:t>
      </w:r>
    </w:p>
    <w:p>
      <w:pPr>
        <w:pStyle w:val="ListParagraph"/>
        <w:numPr>
          <w:ilvl w:val="0"/>
          <w:numId w:val="2"/>
        </w:numPr>
        <w:spacing w:after="80" w:before="0"/>
        <w:ind w:left="720" w:hanging="360"/>
      </w:pPr>
      <w:r>
        <w:rPr>
          <w:rFonts w:ascii="Arial" w:cs="Arial" w:eastAsia="Arial" w:hAnsi="Arial"/>
          <w:sz w:val="20"/>
          <w:szCs w:val="20"/>
        </w:rPr>
        <w:t xml:space="preserve">All calculations update in real time as inputs change — no manual recalculation needed.</w:t>
      </w:r>
    </w:p>
    <w:p>
      <w:pPr>
        <w:pStyle w:val="ListParagraph"/>
        <w:numPr>
          <w:ilvl w:val="0"/>
          <w:numId w:val="2"/>
        </w:numPr>
        <w:spacing w:after="80" w:before="0"/>
        <w:ind w:left="720" w:hanging="360"/>
      </w:pPr>
      <w:r>
        <w:rPr>
          <w:rFonts w:ascii="Arial" w:cs="Arial" w:eastAsia="Arial" w:hAnsi="Arial"/>
          <w:sz w:val="20"/>
          <w:szCs w:val="20"/>
        </w:rPr>
        <w:t xml:space="preserve">Every formula is transparent and documented, so the results can be checked and justified to project stakeholders.</w:t>
      </w:r>
    </w:p>
    <w:p>
      <w:pPr>
        <w:pStyle w:val="ListParagraph"/>
        <w:numPr>
          <w:ilvl w:val="0"/>
          <w:numId w:val="2"/>
        </w:numPr>
        <w:spacing w:after="80" w:before="0"/>
        <w:ind w:left="720" w:hanging="360"/>
      </w:pPr>
      <w:r>
        <w:rPr>
          <w:rFonts w:ascii="Arial" w:cs="Arial" w:eastAsia="Arial" w:hAnsi="Arial"/>
          <w:sz w:val="20"/>
          <w:szCs w:val="20"/>
        </w:rPr>
        <w:t xml:space="preserve">A 2D layout view allows the calculated zones to be visualised at scale and rearranged interactively.</w:t>
      </w:r>
    </w:p>
    <w:p>
      <w:pPr>
        <w:spacing w:after="80" w:before="0"/>
      </w:pPr>
    </w:p>
    <w:p>
      <w:pPr>
        <w:pStyle w:val="Heading2"/>
        <w:spacing w:after="120" w:before="280"/>
      </w:pPr>
      <w:r>
        <w:rPr>
          <w:rFonts w:ascii="Arial" w:cs="Arial" w:eastAsia="Arial" w:hAnsi="Arial"/>
          <w:b/>
          <w:bCs/>
          <w:color w:val="1D4ED8"/>
          <w:sz w:val="26"/>
          <w:szCs w:val="26"/>
        </w:rPr>
        <w:t xml:space="preserve">0.2  Who is this tool for?</w:t>
      </w:r>
    </w:p>
    <w:p>
      <w:pPr>
        <w:spacing w:after="140" w:before="0"/>
      </w:pPr>
      <w:r>
        <w:rPr>
          <w:rFonts w:ascii="Arial" w:cs="Arial" w:eastAsia="Arial" w:hAnsi="Arial"/>
          <w:sz w:val="22"/>
          <w:szCs w:val="22"/>
        </w:rPr>
        <w:t xml:space="preserve">The tool is intended for railway maintenance engineers, depot designers, and project managers involved in depot infrastructure planning. No specialised logistics software knowledge is required. Basic familiarity with depot maintenance operations and warehouse terminology is sufficient.</w:t>
      </w:r>
    </w:p>
    <w:p>
      <w:pPr>
        <w:spacing w:after="80" w:before="0"/>
      </w:pPr>
    </w:p>
    <w:p>
      <w:pPr>
        <w:pStyle w:val="Heading2"/>
        <w:spacing w:after="120" w:before="280"/>
      </w:pPr>
      <w:r>
        <w:rPr>
          <w:rFonts w:ascii="Arial" w:cs="Arial" w:eastAsia="Arial" w:hAnsi="Arial"/>
          <w:b/>
          <w:bCs/>
          <w:color w:val="1D4ED8"/>
          <w:sz w:val="26"/>
          <w:szCs w:val="26"/>
        </w:rPr>
        <w:t xml:space="preserve">0.3  What does this tool produce?</w:t>
      </w:r>
    </w:p>
    <w:p>
      <w:pPr>
        <w:spacing w:after="140" w:before="0"/>
      </w:pPr>
      <w:r>
        <w:rPr>
          <w:rFonts w:ascii="Arial" w:cs="Arial" w:eastAsia="Arial" w:hAnsi="Arial"/>
          <w:sz w:val="22"/>
          <w:szCs w:val="22"/>
        </w:rPr>
        <w:t xml:space="preserve">The tool produces:</w:t>
      </w:r>
    </w:p>
    <w:p>
      <w:pPr>
        <w:pStyle w:val="ListParagraph"/>
        <w:numPr>
          <w:ilvl w:val="0"/>
          <w:numId w:val="2"/>
        </w:numPr>
        <w:spacing w:after="80" w:before="0"/>
        <w:ind w:left="720" w:hanging="360"/>
      </w:pPr>
      <w:r>
        <w:rPr>
          <w:rFonts w:ascii="Arial" w:cs="Arial" w:eastAsia="Arial" w:hAnsi="Arial"/>
          <w:sz w:val="20"/>
          <w:szCs w:val="20"/>
        </w:rPr>
        <w:t xml:space="preserve">The net storage area available for racks and equipment (S_net).</w:t>
      </w:r>
    </w:p>
    <w:p>
      <w:pPr>
        <w:pStyle w:val="ListParagraph"/>
        <w:numPr>
          <w:ilvl w:val="0"/>
          <w:numId w:val="2"/>
        </w:numPr>
        <w:spacing w:after="80" w:before="0"/>
        <w:ind w:left="720" w:hanging="360"/>
      </w:pPr>
      <w:r>
        <w:rPr>
          <w:rFonts w:ascii="Arial" w:cs="Arial" w:eastAsia="Arial" w:hAnsi="Arial"/>
          <w:sz w:val="20"/>
          <w:szCs w:val="20"/>
        </w:rPr>
        <w:t xml:space="preserve">The recommended installed capacity per storage family (pallet positions, shelving ML, cantilever ML, floor places, dedicated m²).</w:t>
      </w:r>
    </w:p>
    <w:p>
      <w:pPr>
        <w:pStyle w:val="ListParagraph"/>
        <w:numPr>
          <w:ilvl w:val="0"/>
          <w:numId w:val="2"/>
        </w:numPr>
        <w:spacing w:after="80" w:before="0"/>
        <w:ind w:left="720" w:hanging="360"/>
      </w:pPr>
      <w:r>
        <w:rPr>
          <w:rFonts w:ascii="Arial" w:cs="Arial" w:eastAsia="Arial" w:hAnsi="Arial"/>
          <w:sz w:val="20"/>
          <w:szCs w:val="20"/>
        </w:rPr>
        <w:t xml:space="preserve">Derived rack counts: number of pallet rack bays, shelving modules, cantilever bays.</w:t>
      </w:r>
    </w:p>
    <w:p>
      <w:pPr>
        <w:pStyle w:val="ListParagraph"/>
        <w:numPr>
          <w:ilvl w:val="0"/>
          <w:numId w:val="2"/>
        </w:numPr>
        <w:spacing w:after="80" w:before="0"/>
        <w:ind w:left="720" w:hanging="360"/>
      </w:pPr>
      <w:r>
        <w:rPr>
          <w:rFonts w:ascii="Arial" w:cs="Arial" w:eastAsia="Arial" w:hAnsi="Arial"/>
          <w:sz w:val="20"/>
          <w:szCs w:val="20"/>
        </w:rPr>
        <w:t xml:space="preserve">A preliminary 2D zone layout at building scale.</w:t>
      </w:r>
    </w:p>
    <w:p>
      <w:pPr>
        <w:spacing w:after="80" w:before="0"/>
      </w:pPr>
    </w:p>
    <w:tbl>
      <w:tblPr>
        <w:tblW w:type="dxa" w:w="9026"/>
        <w:tblBorders>
          <w:top w:val="none"/>
          <w:left w:val="single" w:color="B45309" w:sz="16"/>
          <w:bottom w:val="none"/>
          <w:right w:val="none"/>
          <w:insideH w:val="single" w:color="auto" w:sz="4"/>
          <w:insideV w:val="single" w:color="auto" w:sz="4"/>
        </w:tblBorders>
      </w:tblPr>
      <w:tblGrid>
        <w:gridCol w:w="9026"/>
      </w:tblGrid>
      <w:tr>
        <w:tc>
          <w:tcPr>
            <w:tcW w:type="dxa" w:w="9026"/>
            <w:shd w:fill="FEF3C7" w:val="clear"/>
            <w:tcMar>
              <w:top w:type="dxa" w:w="100"/>
              <w:left w:type="dxa" w:w="200"/>
              <w:bottom w:type="dxa" w:w="100"/>
              <w:right w:type="dxa" w:w="160"/>
            </w:tcMar>
          </w:tcPr>
          <w:p>
            <w:pPr>
              <w:spacing w:after="0" w:before="0"/>
            </w:pPr>
            <w:r>
              <w:rPr>
                <w:rFonts w:ascii="Arial" w:cs="Arial" w:eastAsia="Arial" w:hAnsi="Arial"/>
                <w:i/>
                <w:iCs/>
                <w:color w:val="B45309"/>
                <w:sz w:val="20"/>
                <w:szCs w:val="20"/>
              </w:rPr>
              <w:t xml:space="preserve">This tool is a pre-sizing model. Its outputs are preliminary estimates for feasibility and space allocation studies. They must be validated by a detailed layout study (AutoCAD/Revit) before procurement or construction.</w:t>
            </w:r>
          </w:p>
        </w:tc>
      </w:tr>
    </w:tbl>
    <w:p>
      <w:pPr>
        <w:spacing w:after="80" w:before="0"/>
      </w:pPr>
    </w:p>
    <w:p>
      <w:pPr>
        <w:pStyle w:val="Heading2"/>
        <w:spacing w:after="120" w:before="280"/>
      </w:pPr>
      <w:r>
        <w:rPr>
          <w:rFonts w:ascii="Arial" w:cs="Arial" w:eastAsia="Arial" w:hAnsi="Arial"/>
          <w:b/>
          <w:bCs/>
          <w:color w:val="1D4ED8"/>
          <w:sz w:val="26"/>
          <w:szCs w:val="26"/>
        </w:rPr>
        <w:t xml:space="preserve">0.4  How the guide is organised</w:t>
      </w:r>
    </w:p>
    <w:p>
      <w:pPr>
        <w:spacing w:after="140" w:before="0"/>
      </w:pPr>
      <w:r>
        <w:rPr>
          <w:rFonts w:ascii="Arial" w:cs="Arial" w:eastAsia="Arial" w:hAnsi="Arial"/>
          <w:sz w:val="22"/>
          <w:szCs w:val="22"/>
        </w:rPr>
        <w:t xml:space="preserve">This guide follows the structure of the tool itself:</w:t>
      </w:r>
    </w:p>
    <w:p>
      <w:pPr>
        <w:pStyle w:val="ListParagraph"/>
        <w:numPr>
          <w:ilvl w:val="0"/>
          <w:numId w:val="2"/>
        </w:numPr>
        <w:spacing w:after="80" w:before="0"/>
        <w:ind w:left="720" w:hanging="360"/>
      </w:pPr>
      <w:r>
        <w:rPr>
          <w:rFonts w:ascii="Arial" w:cs="Arial" w:eastAsia="Arial" w:hAnsi="Arial"/>
          <w:sz w:val="20"/>
          <w:szCs w:val="20"/>
        </w:rPr>
        <w:t xml:space="preserve">Chapter 1: Workflow — the five steps to use the tool correctly.</w:t>
      </w:r>
    </w:p>
    <w:p>
      <w:pPr>
        <w:pStyle w:val="ListParagraph"/>
        <w:numPr>
          <w:ilvl w:val="0"/>
          <w:numId w:val="2"/>
        </w:numPr>
        <w:spacing w:after="80" w:before="0"/>
        <w:ind w:left="720" w:hanging="360"/>
      </w:pPr>
      <w:r>
        <w:rPr>
          <w:rFonts w:ascii="Arial" w:cs="Arial" w:eastAsia="Arial" w:hAnsi="Arial"/>
          <w:sz w:val="20"/>
          <w:szCs w:val="20"/>
        </w:rPr>
        <w:t xml:space="preserve">Chapter 2: Inputs tab — every project parameter and family share explained.</w:t>
      </w:r>
    </w:p>
    <w:p>
      <w:pPr>
        <w:pStyle w:val="ListParagraph"/>
        <w:numPr>
          <w:ilvl w:val="0"/>
          <w:numId w:val="2"/>
        </w:numPr>
        <w:spacing w:after="80" w:before="0"/>
        <w:ind w:left="720" w:hanging="360"/>
      </w:pPr>
      <w:r>
        <w:rPr>
          <w:rFonts w:ascii="Arial" w:cs="Arial" w:eastAsia="Arial" w:hAnsi="Arial"/>
          <w:sz w:val="20"/>
          <w:szCs w:val="20"/>
        </w:rPr>
        <w:t xml:space="preserve">Chapter 3: Assumptions tab — every design parameter with its physical meaning and acceptable range.</w:t>
      </w:r>
    </w:p>
    <w:p>
      <w:pPr>
        <w:pStyle w:val="ListParagraph"/>
        <w:numPr>
          <w:ilvl w:val="0"/>
          <w:numId w:val="2"/>
        </w:numPr>
        <w:spacing w:after="80" w:before="0"/>
        <w:ind w:left="720" w:hanging="360"/>
      </w:pPr>
      <w:r>
        <w:rPr>
          <w:rFonts w:ascii="Arial" w:cs="Arial" w:eastAsia="Arial" w:hAnsi="Arial"/>
          <w:sz w:val="20"/>
          <w:szCs w:val="20"/>
        </w:rPr>
        <w:t xml:space="preserve">Chapter 4: Calculation chain — every formula, derived step-by-step with worked examples.</w:t>
      </w:r>
    </w:p>
    <w:p>
      <w:pPr>
        <w:pStyle w:val="ListParagraph"/>
        <w:numPr>
          <w:ilvl w:val="0"/>
          <w:numId w:val="2"/>
        </w:numPr>
        <w:spacing w:after="80" w:before="0"/>
        <w:ind w:left="720" w:hanging="360"/>
      </w:pPr>
      <w:r>
        <w:rPr>
          <w:rFonts w:ascii="Arial" w:cs="Arial" w:eastAsia="Arial" w:hAnsi="Arial"/>
          <w:sz w:val="20"/>
          <w:szCs w:val="20"/>
        </w:rPr>
        <w:t xml:space="preserve">Chapter 5: Results tab — how to read and interpret the outputs.</w:t>
      </w:r>
    </w:p>
    <w:p>
      <w:pPr>
        <w:pStyle w:val="ListParagraph"/>
        <w:numPr>
          <w:ilvl w:val="0"/>
          <w:numId w:val="2"/>
        </w:numPr>
        <w:spacing w:after="80" w:before="0"/>
        <w:ind w:left="720" w:hanging="360"/>
      </w:pPr>
      <w:r>
        <w:rPr>
          <w:rFonts w:ascii="Arial" w:cs="Arial" w:eastAsia="Arial" w:hAnsi="Arial"/>
          <w:sz w:val="20"/>
          <w:szCs w:val="20"/>
        </w:rPr>
        <w:t xml:space="preserve">Chapter 6: Layout 2D tab — how to use the interactive floor plan.</w:t>
      </w:r>
    </w:p>
    <w:p>
      <w:pPr>
        <w:pStyle w:val="ListParagraph"/>
        <w:numPr>
          <w:ilvl w:val="0"/>
          <w:numId w:val="2"/>
        </w:numPr>
        <w:spacing w:after="80" w:before="0"/>
        <w:ind w:left="720" w:hanging="360"/>
      </w:pPr>
      <w:r>
        <w:rPr>
          <w:rFonts w:ascii="Arial" w:cs="Arial" w:eastAsia="Arial" w:hAnsi="Arial"/>
          <w:sz w:val="20"/>
          <w:szCs w:val="20"/>
        </w:rPr>
        <w:t xml:space="preserve">Appendix: complete parameter reference tables.</w:t>
      </w:r>
    </w:p>
    <w:p>
      <w:pPr>
        <w:spacing w:after="0" w:before="0"/>
      </w:pPr>
      <w:r>
        <w:br w:type="page"/>
      </w:r>
    </w:p>
    <w:p>
      <w:pPr>
        <w:pStyle w:val="Heading1"/>
        <w:pBdr>
          <w:bottom w:val="single" w:color="1D4ED8" w:sz="8" w:space="4"/>
        </w:pBdr>
        <w:spacing w:after="200" w:before="360"/>
      </w:pPr>
      <w:r>
        <w:rPr>
          <w:rFonts w:ascii="Arial" w:cs="Arial" w:eastAsia="Arial" w:hAnsi="Arial"/>
          <w:b/>
          <w:bCs/>
          <w:color w:val="1F3864"/>
          <w:sz w:val="32"/>
          <w:szCs w:val="32"/>
        </w:rPr>
        <w:t xml:space="preserve">Chapter 1 — Workflow</w:t>
      </w:r>
    </w:p>
    <w:p>
      <w:pPr>
        <w:spacing w:after="140" w:before="0"/>
      </w:pPr>
      <w:r>
        <w:rPr>
          <w:rFonts w:ascii="Arial" w:cs="Arial" w:eastAsia="Arial" w:hAnsi="Arial"/>
          <w:sz w:val="22"/>
          <w:szCs w:val="22"/>
        </w:rPr>
        <w:t xml:space="preserve">The tool has five tabs. Use them in order, from left to right, for a first-pass sizing. The workflow below describes what to do in each tab and what to expect as an output.</w:t>
      </w:r>
    </w:p>
    <w:p>
      <w:pPr>
        <w:spacing w:after="80" w:before="0"/>
      </w:pPr>
    </w:p>
    <w:tbl>
      <w:tblPr>
        <w:tblW w:type="dxa" w:w="9026"/>
        <w:tblBorders>
          <w:top w:val="none"/>
          <w:left w:val="none"/>
          <w:bottom w:val="single" w:color="E5E7EB" w:sz="1"/>
          <w:right w:val="none"/>
          <w:insideH w:val="single" w:color="auto" w:sz="4"/>
          <w:insideV w:val="single" w:color="auto" w:sz="4"/>
        </w:tblBorders>
      </w:tblPr>
      <w:tblGrid>
        <w:gridCol w:w="440"/>
        <w:gridCol w:w="8586"/>
      </w:tblGrid>
      <w:tr>
        <w:tc>
          <w:tcPr>
            <w:tcW w:type="dxa" w:w="440"/>
            <w:tcBorders>
              <w:top w:val="none"/>
              <w:left w:val="none"/>
              <w:bottom w:val="none"/>
              <w:right w:val="none"/>
            </w:tcBorders>
            <w:shd w:fill="1D4ED8" w:val="clear"/>
            <w:tcMar>
              <w:top w:type="dxa" w:w="80"/>
              <w:left w:type="dxa" w:w="160"/>
              <w:bottom w:type="dxa" w:w="80"/>
              <w:right w:type="dxa" w:w="160"/>
            </w:tcMar>
            <w:vAlign w:val="top"/>
          </w:tcPr>
          <w:p>
            <w:pPr>
              <w:spacing w:after="0" w:before="0"/>
              <w:jc w:val="center"/>
            </w:pPr>
            <w:r>
              <w:rPr>
                <w:rFonts w:ascii="Arial" w:cs="Arial" w:eastAsia="Arial" w:hAnsi="Arial"/>
                <w:b/>
                <w:bCs/>
                <w:color w:val="FFFFFF"/>
                <w:sz w:val="26"/>
                <w:szCs w:val="26"/>
              </w:rPr>
              <w:t xml:space="preserve">1</w:t>
            </w:r>
          </w:p>
        </w:tc>
        <w:tc>
          <w:tcPr>
            <w:tcW w:type="dxa" w:w="8586"/>
            <w:tcBorders>
              <w:top w:val="none"/>
              <w:left w:val="none"/>
              <w:bottom w:val="none"/>
              <w:right w:val="none"/>
            </w:tcBorders>
            <w:shd w:fill="FFFFFF" w:val="clear"/>
            <w:tcMar>
              <w:top w:type="dxa" w:w="80"/>
              <w:left w:type="dxa" w:w="160"/>
              <w:bottom w:type="dxa" w:w="80"/>
              <w:right w:type="dxa" w:w="80"/>
            </w:tcMar>
          </w:tcPr>
          <w:p>
            <w:pPr>
              <w:spacing w:after="40" w:before="0"/>
            </w:pPr>
            <w:r>
              <w:rPr>
                <w:rFonts w:ascii="Arial" w:cs="Arial" w:eastAsia="Arial" w:hAnsi="Arial"/>
                <w:b/>
                <w:bCs/>
                <w:color w:val="000000"/>
                <w:sz w:val="22"/>
                <w:szCs w:val="22"/>
              </w:rPr>
              <w:t xml:space="preserve">Inputs — Project parameters</w:t>
            </w:r>
          </w:p>
          <w:p>
            <w:pPr>
              <w:spacing w:after="0" w:before="0"/>
            </w:pPr>
            <w:r>
              <w:rPr>
                <w:rFonts w:ascii="Arial" w:cs="Arial" w:eastAsia="Arial" w:hAnsi="Arial"/>
                <w:color w:val="374151"/>
                <w:sz w:val="20"/>
                <w:szCs w:val="20"/>
              </w:rPr>
              <w:t xml:space="preserve">Enter the gross workshop surface area, the useful storage height, the fleet size, and the line length. These four values initialise the entire calculation chain. S_gross and S_net are computed automatically as soon as you enter S_workshop.</w:t>
            </w:r>
          </w:p>
        </w:tc>
      </w:tr>
    </w:tbl>
    <w:tbl>
      <w:tblPr>
        <w:tblW w:type="dxa" w:w="9026"/>
        <w:tblBorders>
          <w:top w:val="none"/>
          <w:left w:val="none"/>
          <w:bottom w:val="single" w:color="E5E7EB" w:sz="1"/>
          <w:right w:val="none"/>
          <w:insideH w:val="single" w:color="auto" w:sz="4"/>
          <w:insideV w:val="single" w:color="auto" w:sz="4"/>
        </w:tblBorders>
      </w:tblPr>
      <w:tblGrid>
        <w:gridCol w:w="440"/>
        <w:gridCol w:w="8586"/>
      </w:tblGrid>
      <w:tr>
        <w:tc>
          <w:tcPr>
            <w:tcW w:type="dxa" w:w="440"/>
            <w:tcBorders>
              <w:top w:val="none"/>
              <w:left w:val="none"/>
              <w:bottom w:val="none"/>
              <w:right w:val="none"/>
            </w:tcBorders>
            <w:shd w:fill="1D4ED8" w:val="clear"/>
            <w:tcMar>
              <w:top w:type="dxa" w:w="80"/>
              <w:left w:type="dxa" w:w="160"/>
              <w:bottom w:type="dxa" w:w="80"/>
              <w:right w:type="dxa" w:w="160"/>
            </w:tcMar>
            <w:vAlign w:val="top"/>
          </w:tcPr>
          <w:p>
            <w:pPr>
              <w:spacing w:after="0" w:before="0"/>
              <w:jc w:val="center"/>
            </w:pPr>
            <w:r>
              <w:rPr>
                <w:rFonts w:ascii="Arial" w:cs="Arial" w:eastAsia="Arial" w:hAnsi="Arial"/>
                <w:b/>
                <w:bCs/>
                <w:color w:val="FFFFFF"/>
                <w:sz w:val="26"/>
                <w:szCs w:val="26"/>
              </w:rPr>
              <w:t xml:space="preserve">2</w:t>
            </w:r>
          </w:p>
        </w:tc>
        <w:tc>
          <w:tcPr>
            <w:tcW w:type="dxa" w:w="8586"/>
            <w:tcBorders>
              <w:top w:val="none"/>
              <w:left w:val="none"/>
              <w:bottom w:val="none"/>
              <w:right w:val="none"/>
            </w:tcBorders>
            <w:shd w:fill="FFFFFF" w:val="clear"/>
            <w:tcMar>
              <w:top w:type="dxa" w:w="80"/>
              <w:left w:type="dxa" w:w="160"/>
              <w:bottom w:type="dxa" w:w="80"/>
              <w:right w:type="dxa" w:w="80"/>
            </w:tcMar>
          </w:tcPr>
          <w:p>
            <w:pPr>
              <w:spacing w:after="40" w:before="0"/>
            </w:pPr>
            <w:r>
              <w:rPr>
                <w:rFonts w:ascii="Arial" w:cs="Arial" w:eastAsia="Arial" w:hAnsi="Arial"/>
                <w:b/>
                <w:bCs/>
                <w:color w:val="000000"/>
                <w:sz w:val="22"/>
                <w:szCs w:val="22"/>
              </w:rPr>
              <w:t xml:space="preserve">Inputs — Storage family distribution</w:t>
            </w:r>
          </w:p>
          <w:p>
            <w:pPr>
              <w:spacing w:after="0" w:before="0"/>
            </w:pPr>
            <w:r>
              <w:rPr>
                <w:rFonts w:ascii="Arial" w:cs="Arial" w:eastAsia="Arial" w:hAnsi="Arial"/>
                <w:color w:val="374151"/>
                <w:sz w:val="20"/>
                <w:szCs w:val="20"/>
              </w:rPr>
              <w:t xml:space="preserve">Adjust the percentage share of each of the 8 storage families. Use the system profile buttons (Metro, Tram, APM, Heavy Rail) to load typical starting values, then refine them to reflect your project. The total must equal exactly 100%. A colour indicator confirms when the total is correct.</w:t>
            </w:r>
          </w:p>
        </w:tc>
      </w:tr>
    </w:tbl>
    <w:tbl>
      <w:tblPr>
        <w:tblW w:type="dxa" w:w="9026"/>
        <w:tblBorders>
          <w:top w:val="none"/>
          <w:left w:val="none"/>
          <w:bottom w:val="single" w:color="E5E7EB" w:sz="1"/>
          <w:right w:val="none"/>
          <w:insideH w:val="single" w:color="auto" w:sz="4"/>
          <w:insideV w:val="single" w:color="auto" w:sz="4"/>
        </w:tblBorders>
      </w:tblPr>
      <w:tblGrid>
        <w:gridCol w:w="440"/>
        <w:gridCol w:w="8586"/>
      </w:tblGrid>
      <w:tr>
        <w:tc>
          <w:tcPr>
            <w:tcW w:type="dxa" w:w="440"/>
            <w:tcBorders>
              <w:top w:val="none"/>
              <w:left w:val="none"/>
              <w:bottom w:val="none"/>
              <w:right w:val="none"/>
            </w:tcBorders>
            <w:shd w:fill="1D4ED8" w:val="clear"/>
            <w:tcMar>
              <w:top w:type="dxa" w:w="80"/>
              <w:left w:type="dxa" w:w="160"/>
              <w:bottom w:type="dxa" w:w="80"/>
              <w:right w:type="dxa" w:w="160"/>
            </w:tcMar>
            <w:vAlign w:val="top"/>
          </w:tcPr>
          <w:p>
            <w:pPr>
              <w:spacing w:after="0" w:before="0"/>
              <w:jc w:val="center"/>
            </w:pPr>
            <w:r>
              <w:rPr>
                <w:rFonts w:ascii="Arial" w:cs="Arial" w:eastAsia="Arial" w:hAnsi="Arial"/>
                <w:b/>
                <w:bCs/>
                <w:color w:val="FFFFFF"/>
                <w:sz w:val="26"/>
                <w:szCs w:val="26"/>
              </w:rPr>
              <w:t xml:space="preserve">3</w:t>
            </w:r>
          </w:p>
        </w:tc>
        <w:tc>
          <w:tcPr>
            <w:tcW w:type="dxa" w:w="8586"/>
            <w:tcBorders>
              <w:top w:val="none"/>
              <w:left w:val="none"/>
              <w:bottom w:val="none"/>
              <w:right w:val="none"/>
            </w:tcBorders>
            <w:shd w:fill="FFFFFF" w:val="clear"/>
            <w:tcMar>
              <w:top w:type="dxa" w:w="80"/>
              <w:left w:type="dxa" w:w="160"/>
              <w:bottom w:type="dxa" w:w="80"/>
              <w:right w:type="dxa" w:w="80"/>
            </w:tcMar>
          </w:tcPr>
          <w:p>
            <w:pPr>
              <w:spacing w:after="40" w:before="0"/>
            </w:pPr>
            <w:r>
              <w:rPr>
                <w:rFonts w:ascii="Arial" w:cs="Arial" w:eastAsia="Arial" w:hAnsi="Arial"/>
                <w:b/>
                <w:bCs/>
                <w:color w:val="000000"/>
                <w:sz w:val="22"/>
                <w:szCs w:val="22"/>
              </w:rPr>
              <w:t xml:space="preserve">Assumptions — Review design parameters</w:t>
            </w:r>
          </w:p>
          <w:p>
            <w:pPr>
              <w:spacing w:after="0" w:before="0"/>
            </w:pPr>
            <w:r>
              <w:rPr>
                <w:rFonts w:ascii="Arial" w:cs="Arial" w:eastAsia="Arial" w:hAnsi="Arial"/>
                <w:color w:val="374151"/>
                <w:sz w:val="20"/>
                <w:szCs w:val="20"/>
              </w:rPr>
              <w:t xml:space="preserve">Check the geometric and efficiency parameters. Default values are calibrated for a medium Metro depot. Only change values that differ from your actual project constraints (e.g. different pallet dimensions, different building height, different aisle width policy).</w:t>
            </w:r>
          </w:p>
        </w:tc>
      </w:tr>
    </w:tbl>
    <w:tbl>
      <w:tblPr>
        <w:tblW w:type="dxa" w:w="9026"/>
        <w:tblBorders>
          <w:top w:val="none"/>
          <w:left w:val="none"/>
          <w:bottom w:val="single" w:color="E5E7EB" w:sz="1"/>
          <w:right w:val="none"/>
          <w:insideH w:val="single" w:color="auto" w:sz="4"/>
          <w:insideV w:val="single" w:color="auto" w:sz="4"/>
        </w:tblBorders>
      </w:tblPr>
      <w:tblGrid>
        <w:gridCol w:w="440"/>
        <w:gridCol w:w="8586"/>
      </w:tblGrid>
      <w:tr>
        <w:tc>
          <w:tcPr>
            <w:tcW w:type="dxa" w:w="440"/>
            <w:tcBorders>
              <w:top w:val="none"/>
              <w:left w:val="none"/>
              <w:bottom w:val="none"/>
              <w:right w:val="none"/>
            </w:tcBorders>
            <w:shd w:fill="1D4ED8" w:val="clear"/>
            <w:tcMar>
              <w:top w:type="dxa" w:w="80"/>
              <w:left w:type="dxa" w:w="160"/>
              <w:bottom w:type="dxa" w:w="80"/>
              <w:right w:type="dxa" w:w="160"/>
            </w:tcMar>
            <w:vAlign w:val="top"/>
          </w:tcPr>
          <w:p>
            <w:pPr>
              <w:spacing w:after="0" w:before="0"/>
              <w:jc w:val="center"/>
            </w:pPr>
            <w:r>
              <w:rPr>
                <w:rFonts w:ascii="Arial" w:cs="Arial" w:eastAsia="Arial" w:hAnsi="Arial"/>
                <w:b/>
                <w:bCs/>
                <w:color w:val="FFFFFF"/>
                <w:sz w:val="26"/>
                <w:szCs w:val="26"/>
              </w:rPr>
              <w:t xml:space="preserve">4</w:t>
            </w:r>
          </w:p>
        </w:tc>
        <w:tc>
          <w:tcPr>
            <w:tcW w:type="dxa" w:w="8586"/>
            <w:tcBorders>
              <w:top w:val="none"/>
              <w:left w:val="none"/>
              <w:bottom w:val="none"/>
              <w:right w:val="none"/>
            </w:tcBorders>
            <w:shd w:fill="FFFFFF" w:val="clear"/>
            <w:tcMar>
              <w:top w:type="dxa" w:w="80"/>
              <w:left w:type="dxa" w:w="160"/>
              <w:bottom w:type="dxa" w:w="80"/>
              <w:right w:type="dxa" w:w="80"/>
            </w:tcMar>
          </w:tcPr>
          <w:p>
            <w:pPr>
              <w:spacing w:after="40" w:before="0"/>
            </w:pPr>
            <w:r>
              <w:rPr>
                <w:rFonts w:ascii="Arial" w:cs="Arial" w:eastAsia="Arial" w:hAnsi="Arial"/>
                <w:b/>
                <w:bCs/>
                <w:color w:val="000000"/>
                <w:sz w:val="22"/>
                <w:szCs w:val="22"/>
              </w:rPr>
              <w:t xml:space="preserve">Results — Read the outputs</w:t>
            </w:r>
          </w:p>
          <w:p>
            <w:pPr>
              <w:spacing w:after="0" w:before="0"/>
            </w:pPr>
            <w:r>
              <w:rPr>
                <w:rFonts w:ascii="Arial" w:cs="Arial" w:eastAsia="Arial" w:hAnsi="Arial"/>
                <w:color w:val="374151"/>
                <w:sz w:val="20"/>
                <w:szCs w:val="20"/>
              </w:rPr>
              <w:t xml:space="preserve">The Results tab shows the recommended installed capacity for each storage type, derived rack counts (bays, modules, linear metres), and the auto-computed rack geometry (frame height, number of levels, bay width). This is the main deliverable for a feasibility study.</w:t>
            </w:r>
          </w:p>
        </w:tc>
      </w:tr>
    </w:tbl>
    <w:tbl>
      <w:tblPr>
        <w:tblW w:type="dxa" w:w="9026"/>
        <w:tblBorders>
          <w:top w:val="none"/>
          <w:left w:val="none"/>
          <w:bottom w:val="single" w:color="E5E7EB" w:sz="1"/>
          <w:right w:val="none"/>
          <w:insideH w:val="single" w:color="auto" w:sz="4"/>
          <w:insideV w:val="single" w:color="auto" w:sz="4"/>
        </w:tblBorders>
      </w:tblPr>
      <w:tblGrid>
        <w:gridCol w:w="440"/>
        <w:gridCol w:w="8586"/>
      </w:tblGrid>
      <w:tr>
        <w:tc>
          <w:tcPr>
            <w:tcW w:type="dxa" w:w="440"/>
            <w:tcBorders>
              <w:top w:val="none"/>
              <w:left w:val="none"/>
              <w:bottom w:val="none"/>
              <w:right w:val="none"/>
            </w:tcBorders>
            <w:shd w:fill="1D4ED8" w:val="clear"/>
            <w:tcMar>
              <w:top w:type="dxa" w:w="80"/>
              <w:left w:type="dxa" w:w="160"/>
              <w:bottom w:type="dxa" w:w="80"/>
              <w:right w:type="dxa" w:w="160"/>
            </w:tcMar>
            <w:vAlign w:val="top"/>
          </w:tcPr>
          <w:p>
            <w:pPr>
              <w:spacing w:after="0" w:before="0"/>
              <w:jc w:val="center"/>
            </w:pPr>
            <w:r>
              <w:rPr>
                <w:rFonts w:ascii="Arial" w:cs="Arial" w:eastAsia="Arial" w:hAnsi="Arial"/>
                <w:b/>
                <w:bCs/>
                <w:color w:val="FFFFFF"/>
                <w:sz w:val="26"/>
                <w:szCs w:val="26"/>
              </w:rPr>
              <w:t xml:space="preserve">5</w:t>
            </w:r>
          </w:p>
        </w:tc>
        <w:tc>
          <w:tcPr>
            <w:tcW w:type="dxa" w:w="8586"/>
            <w:tcBorders>
              <w:top w:val="none"/>
              <w:left w:val="none"/>
              <w:bottom w:val="none"/>
              <w:right w:val="none"/>
            </w:tcBorders>
            <w:shd w:fill="FFFFFF" w:val="clear"/>
            <w:tcMar>
              <w:top w:type="dxa" w:w="80"/>
              <w:left w:type="dxa" w:w="160"/>
              <w:bottom w:type="dxa" w:w="80"/>
              <w:right w:type="dxa" w:w="80"/>
            </w:tcMar>
          </w:tcPr>
          <w:p>
            <w:pPr>
              <w:spacing w:after="40" w:before="0"/>
            </w:pPr>
            <w:r>
              <w:rPr>
                <w:rFonts w:ascii="Arial" w:cs="Arial" w:eastAsia="Arial" w:hAnsi="Arial"/>
                <w:b/>
                <w:bCs/>
                <w:color w:val="000000"/>
                <w:sz w:val="22"/>
                <w:szCs w:val="22"/>
              </w:rPr>
              <w:t xml:space="preserve">Layout 2D — Visualise and adjust</w:t>
            </w:r>
          </w:p>
          <w:p>
            <w:pPr>
              <w:spacing w:after="0" w:before="0"/>
            </w:pPr>
            <w:r>
              <w:rPr>
                <w:rFonts w:ascii="Arial" w:cs="Arial" w:eastAsia="Arial" w:hAnsi="Arial"/>
                <w:color w:val="374151"/>
                <w:sz w:val="20"/>
                <w:szCs w:val="20"/>
              </w:rPr>
              <w:t xml:space="preserve">Set the store building width. The zones are automatically placed to scale. Drag zones to rearrange them. Resize zones by dragging the bottom-right handle. The sanity check panel shows whether the total rack footprint is consistent with S_net.</w:t>
            </w:r>
          </w:p>
        </w:tc>
      </w:tr>
    </w:tbl>
    <w:p>
      <w:pPr>
        <w:spacing w:after="80" w:before="0"/>
      </w:pPr>
    </w:p>
    <w:tbl>
      <w:tblPr>
        <w:tblW w:type="dxa" w:w="9026"/>
        <w:tblBorders>
          <w:top w:val="none"/>
          <w:left w:val="single" w:color="991B1B" w:sz="16"/>
          <w:bottom w:val="none"/>
          <w:right w:val="none"/>
          <w:insideH w:val="single" w:color="auto" w:sz="4"/>
          <w:insideV w:val="single" w:color="auto" w:sz="4"/>
        </w:tblBorders>
      </w:tblPr>
      <w:tblGrid>
        <w:gridCol w:w="9026"/>
      </w:tblGrid>
      <w:tr>
        <w:tc>
          <w:tcPr>
            <w:tcW w:type="dxa" w:w="9026"/>
            <w:shd w:fill="FEE2E2" w:val="clear"/>
            <w:tcMar>
              <w:top w:type="dxa" w:w="100"/>
              <w:left w:type="dxa" w:w="200"/>
              <w:bottom w:type="dxa" w:w="100"/>
              <w:right w:type="dxa" w:w="160"/>
            </w:tcMar>
          </w:tcPr>
          <w:p>
            <w:pPr>
              <w:spacing w:after="0" w:before="0"/>
            </w:pPr>
            <w:r>
              <w:rPr>
                <w:rFonts w:ascii="Arial" w:cs="Arial" w:eastAsia="Arial" w:hAnsi="Arial"/>
                <w:i/>
                <w:iCs/>
                <w:color w:val="991B1B"/>
                <w:sz w:val="20"/>
                <w:szCs w:val="20"/>
              </w:rPr>
              <w:t xml:space="preserve">Always verify the share sum is 100% (green indicator) before reading Results. A wrong sum produces proportionally wrong capacity numbers.</w:t>
            </w:r>
          </w:p>
        </w:tc>
      </w:tr>
    </w:tbl>
    <w:p>
      <w:pPr>
        <w:spacing w:after="0" w:before="0"/>
      </w:pPr>
      <w:r>
        <w:br w:type="page"/>
      </w:r>
    </w:p>
    <w:p>
      <w:pPr>
        <w:pStyle w:val="Heading1"/>
        <w:pBdr>
          <w:bottom w:val="single" w:color="1D4ED8" w:sz="8" w:space="4"/>
        </w:pBdr>
        <w:spacing w:after="200" w:before="360"/>
      </w:pPr>
      <w:r>
        <w:rPr>
          <w:rFonts w:ascii="Arial" w:cs="Arial" w:eastAsia="Arial" w:hAnsi="Arial"/>
          <w:b/>
          <w:bCs/>
          <w:color w:val="1F3864"/>
          <w:sz w:val="32"/>
          <w:szCs w:val="32"/>
        </w:rPr>
        <w:t xml:space="preserve">Chapter 2 — Inputs Tab</w:t>
      </w:r>
    </w:p>
    <w:p>
      <w:pPr>
        <w:spacing w:after="140" w:before="0"/>
      </w:pPr>
      <w:r>
        <w:rPr>
          <w:rFonts w:ascii="Arial" w:cs="Arial" w:eastAsia="Arial" w:hAnsi="Arial"/>
          <w:sz w:val="22"/>
          <w:szCs w:val="22"/>
        </w:rPr>
        <w:t xml:space="preserve">The Inputs tab is the starting point. It contains two sections: project parameters (four fields) and storage family distribution (eight rows). All amber-background cells are editable.</w:t>
      </w:r>
    </w:p>
    <w:p>
      <w:pPr>
        <w:spacing w:after="80" w:before="0"/>
      </w:pPr>
    </w:p>
    <w:p>
      <w:pPr>
        <w:pStyle w:val="Heading2"/>
        <w:spacing w:after="120" w:before="280"/>
      </w:pPr>
      <w:r>
        <w:rPr>
          <w:rFonts w:ascii="Arial" w:cs="Arial" w:eastAsia="Arial" w:hAnsi="Arial"/>
          <w:b/>
          <w:bCs/>
          <w:color w:val="1D4ED8"/>
          <w:sz w:val="26"/>
          <w:szCs w:val="26"/>
        </w:rPr>
        <w:t xml:space="preserve">2.1  Project Parameters</w:t>
      </w:r>
    </w:p>
    <w:p>
      <w:pPr>
        <w:spacing w:after="140" w:before="0"/>
      </w:pPr>
      <w:r>
        <w:rPr>
          <w:rFonts w:ascii="Arial" w:cs="Arial" w:eastAsia="Arial" w:hAnsi="Arial"/>
          <w:b/>
          <w:bCs/>
          <w:color w:val="000000"/>
          <w:sz w:val="22"/>
          <w:szCs w:val="22"/>
        </w:rPr>
        <w:t xml:space="preserve">Amber cells only. </w:t>
      </w:r>
      <w:r>
        <w:rPr>
          <w:rFonts w:ascii="Arial" w:cs="Arial" w:eastAsia="Arial" w:hAnsi="Arial"/>
          <w:sz w:val="22"/>
          <w:szCs w:val="22"/>
        </w:rPr>
        <w:t xml:space="preserve">Edit directly in the input fields. Values update the entire calculation chain in real time.</w:t>
      </w:r>
    </w:p>
    <w:p>
      <w:pPr>
        <w:spacing w:after="80" w:before="0"/>
      </w:pPr>
    </w:p>
    <w:p>
      <w:pPr>
        <w:pStyle w:val="Heading3"/>
        <w:spacing w:after="80" w:before="200"/>
      </w:pPr>
      <w:r>
        <w:rPr>
          <w:rFonts w:ascii="Arial" w:cs="Arial" w:eastAsia="Arial" w:hAnsi="Arial"/>
          <w:b/>
          <w:bCs/>
          <w:color w:val="374151"/>
          <w:sz w:val="22"/>
          <w:szCs w:val="22"/>
        </w:rPr>
        <w:t xml:space="preserve">S_workshop — Workshop gross surface (m²)</w:t>
      </w:r>
    </w:p>
    <w:p>
      <w:pPr>
        <w:spacing w:after="140" w:before="0"/>
      </w:pPr>
      <w:r>
        <w:rPr>
          <w:rFonts w:ascii="Arial" w:cs="Arial" w:eastAsia="Arial" w:hAnsi="Arial"/>
          <w:sz w:val="22"/>
          <w:szCs w:val="22"/>
        </w:rPr>
        <w:t xml:space="preserve">This is the total floor area of the workshop building, measured gross — including walls, structure, columns, and any internal dividing walls. It is the starting surface from which the store allocation is derived.</w:t>
      </w:r>
    </w:p>
    <w:p>
      <w:pPr>
        <w:spacing w:after="140" w:before="0"/>
      </w:pPr>
      <w:r>
        <w:rPr>
          <w:rFonts w:ascii="Arial" w:cs="Arial" w:eastAsia="Arial" w:hAnsi="Arial"/>
          <w:b/>
          <w:bCs/>
          <w:color w:val="000000"/>
          <w:sz w:val="22"/>
          <w:szCs w:val="22"/>
        </w:rPr>
        <w:t xml:space="preserve">Source: </w:t>
      </w:r>
      <w:r>
        <w:rPr>
          <w:rFonts w:ascii="Arial" w:cs="Arial" w:eastAsia="Arial" w:hAnsi="Arial"/>
          <w:sz w:val="22"/>
          <w:szCs w:val="22"/>
        </w:rPr>
        <w:t xml:space="preserve">building technical file, architectural drawings, or site plan. Use the gross floor area (GFA), not the net internal area.</w:t>
      </w:r>
    </w:p>
    <w:p>
      <w:pPr>
        <w:spacing w:after="140" w:before="0"/>
      </w:pPr>
      <w:r>
        <w:rPr>
          <w:rFonts w:ascii="Arial" w:cs="Arial" w:eastAsia="Arial" w:hAnsi="Arial"/>
          <w:b/>
          <w:bCs/>
          <w:color w:val="000000"/>
          <w:sz w:val="22"/>
          <w:szCs w:val="22"/>
        </w:rPr>
        <w:t xml:space="preserve">Default: </w:t>
      </w:r>
      <w:r>
        <w:rPr>
          <w:rFonts w:ascii="Courier New" w:cs="Courier New" w:eastAsia="Courier New" w:hAnsi="Courier New"/>
          <w:color w:val="1D4ED8"/>
          <w:sz w:val="20"/>
          <w:szCs w:val="20"/>
        </w:rPr>
        <w:t xml:space="preserve">6 000 m²</w:t>
      </w:r>
      <w:r>
        <w:rPr>
          <w:rFonts w:ascii="Arial" w:cs="Arial" w:eastAsia="Arial" w:hAnsi="Arial"/>
          <w:sz w:val="22"/>
          <w:szCs w:val="22"/>
        </w:rPr>
        <w:t xml:space="preserve">. Appropriate for a 30-train Metro depot.</w:t>
      </w:r>
    </w:p>
    <w:p>
      <w:pPr>
        <w:spacing w:after="140" w:before="0"/>
      </w:pPr>
      <w:r>
        <w:rPr>
          <w:rFonts w:ascii="Arial" w:cs="Arial" w:eastAsia="Arial" w:hAnsi="Arial"/>
          <w:b/>
          <w:bCs/>
          <w:color w:val="000000"/>
          <w:sz w:val="22"/>
          <w:szCs w:val="22"/>
        </w:rPr>
        <w:t xml:space="preserve">Typical range: </w:t>
      </w:r>
      <w:r>
        <w:rPr>
          <w:rFonts w:ascii="Arial" w:cs="Arial" w:eastAsia="Arial" w:hAnsi="Arial"/>
          <w:sz w:val="22"/>
          <w:szCs w:val="22"/>
        </w:rPr>
        <w:t xml:space="preserve">3 000 – 30 000 m² depending on fleet size and maintenance strategy.</w:t>
      </w:r>
    </w:p>
    <w:p>
      <w:pPr>
        <w:spacing w:after="80" w:before="0"/>
      </w:pPr>
    </w:p>
    <w:p>
      <w:pPr>
        <w:pStyle w:val="Heading3"/>
        <w:spacing w:after="80" w:before="200"/>
      </w:pPr>
      <w:r>
        <w:rPr>
          <w:rFonts w:ascii="Arial" w:cs="Arial" w:eastAsia="Arial" w:hAnsi="Arial"/>
          <w:b/>
          <w:bCs/>
          <w:color w:val="374151"/>
          <w:sz w:val="22"/>
          <w:szCs w:val="22"/>
        </w:rPr>
        <w:t xml:space="preserve">H_useful — Useful storage height (m)</w:t>
      </w:r>
    </w:p>
    <w:p>
      <w:pPr>
        <w:spacing w:after="140" w:before="0"/>
      </w:pPr>
      <w:r>
        <w:rPr>
          <w:rFonts w:ascii="Arial" w:cs="Arial" w:eastAsia="Arial" w:hAnsi="Arial"/>
          <w:sz w:val="22"/>
          <w:szCs w:val="22"/>
        </w:rPr>
        <w:t xml:space="preserve">This is the clear internal height available for storage, measured from the finished floor level (FFL) to the underside of the lowest obstacle. The lowest obstacle is typically one of: the lowest structural beam, the lowest MEP (mechanical/electrical/plumbing) service, the lowest point of the sprinkler pipework, or the lowest lighting fixture.</w:t>
      </w:r>
    </w:p>
    <w:p>
      <w:pPr>
        <w:spacing w:after="140" w:before="0"/>
      </w:pPr>
      <w:r>
        <w:rPr>
          <w:rFonts w:ascii="Arial" w:cs="Arial" w:eastAsia="Arial" w:hAnsi="Arial"/>
          <w:b/>
          <w:bCs/>
          <w:color w:val="000000"/>
          <w:sz w:val="22"/>
          <w:szCs w:val="22"/>
        </w:rPr>
        <w:t xml:space="preserve">Why this matters: </w:t>
      </w:r>
      <w:r>
        <w:rPr>
          <w:rFonts w:ascii="Arial" w:cs="Arial" w:eastAsia="Arial" w:hAnsi="Arial"/>
          <w:sz w:val="22"/>
          <w:szCs w:val="22"/>
        </w:rPr>
        <w:t xml:space="preserve">H_useful directly drives the automatic calculation of the number of pallet rack levels (N_lev). A higher building allows more levels on the same footprint, which multiplies pallet capacity without increasing floor space.</w:t>
      </w:r>
    </w:p>
    <w:p>
      <w:pPr>
        <w:spacing w:after="140" w:before="0"/>
      </w:pPr>
      <w:r>
        <w:rPr>
          <w:rFonts w:ascii="Arial" w:cs="Arial" w:eastAsia="Arial" w:hAnsi="Arial"/>
          <w:b/>
          <w:bCs/>
          <w:color w:val="000000"/>
          <w:sz w:val="22"/>
          <w:szCs w:val="22"/>
        </w:rPr>
        <w:t xml:space="preserve">How to measure: </w:t>
      </w:r>
      <w:r>
        <w:rPr>
          <w:rFonts w:ascii="Arial" w:cs="Arial" w:eastAsia="Arial" w:hAnsi="Arial"/>
          <w:sz w:val="22"/>
          <w:szCs w:val="22"/>
        </w:rPr>
        <w:t xml:space="preserve">carry out a site survey and identify the critical obstacle at the worst-case column bay. Do not use the ridge height or the design height — use the actual clear height at the storage locations.</w:t>
      </w:r>
    </w:p>
    <w:p>
      <w:pPr>
        <w:spacing w:after="140" w:before="0"/>
      </w:pPr>
      <w:r>
        <w:rPr>
          <w:rFonts w:ascii="Arial" w:cs="Arial" w:eastAsia="Arial" w:hAnsi="Arial"/>
          <w:b/>
          <w:bCs/>
          <w:color w:val="000000"/>
          <w:sz w:val="22"/>
          <w:szCs w:val="22"/>
        </w:rPr>
        <w:t xml:space="preserve">Default: </w:t>
      </w:r>
      <w:r>
        <w:rPr>
          <w:rFonts w:ascii="Courier New" w:cs="Courier New" w:eastAsia="Courier New" w:hAnsi="Courier New"/>
          <w:color w:val="1D4ED8"/>
          <w:sz w:val="20"/>
          <w:szCs w:val="20"/>
        </w:rPr>
        <w:t xml:space="preserve">6.0 m</w:t>
      </w:r>
      <w:r>
        <w:rPr>
          <w:rFonts w:ascii="Arial" w:cs="Arial" w:eastAsia="Arial" w:hAnsi="Arial"/>
          <w:sz w:val="22"/>
          <w:szCs w:val="22"/>
        </w:rPr>
        <w:t xml:space="preserve">. Gives 3 pallet rack levels with the default geometry.</w:t>
      </w:r>
    </w:p>
    <w:p>
      <w:pPr>
        <w:spacing w:after="140" w:before="0"/>
      </w:pPr>
      <w:r>
        <w:rPr>
          <w:rFonts w:ascii="Arial" w:cs="Arial" w:eastAsia="Arial" w:hAnsi="Arial"/>
          <w:b/>
          <w:bCs/>
          <w:color w:val="000000"/>
          <w:sz w:val="22"/>
          <w:szCs w:val="22"/>
        </w:rPr>
        <w:t xml:space="preserve">Typical range: </w:t>
      </w:r>
      <w:r>
        <w:rPr>
          <w:rFonts w:ascii="Arial" w:cs="Arial" w:eastAsia="Arial" w:hAnsi="Arial"/>
          <w:sz w:val="22"/>
          <w:szCs w:val="22"/>
        </w:rPr>
        <w:t xml:space="preserve">4.5 – 10.0 m. Below 4.5 m: only 2 rack levels possible. Above 8 m: high-bay racking may be considered (not modelled here).</w:t>
      </w:r>
    </w:p>
    <w:p>
      <w:pPr>
        <w:spacing w:after="80" w:before="0"/>
      </w:pPr>
    </w:p>
    <w:tbl>
      <w:tblPr>
        <w:tblW w:type="dxa" w:w="9026"/>
        <w:tblBorders>
          <w:top w:val="none"/>
          <w:left w:val="single" w:color="B45309" w:sz="16"/>
          <w:bottom w:val="none"/>
          <w:right w:val="none"/>
          <w:insideH w:val="single" w:color="auto" w:sz="4"/>
          <w:insideV w:val="single" w:color="auto" w:sz="4"/>
        </w:tblBorders>
      </w:tblPr>
      <w:tblGrid>
        <w:gridCol w:w="9026"/>
      </w:tblGrid>
      <w:tr>
        <w:tc>
          <w:tcPr>
            <w:tcW w:type="dxa" w:w="9026"/>
            <w:shd w:fill="FEF3C7" w:val="clear"/>
            <w:tcMar>
              <w:top w:type="dxa" w:w="100"/>
              <w:left w:type="dxa" w:w="200"/>
              <w:bottom w:type="dxa" w:w="100"/>
              <w:right w:type="dxa" w:w="160"/>
            </w:tcMar>
          </w:tcPr>
          <w:p>
            <w:pPr>
              <w:spacing w:after="0" w:before="0"/>
            </w:pPr>
            <w:r>
              <w:rPr>
                <w:rFonts w:ascii="Arial" w:cs="Arial" w:eastAsia="Arial" w:hAnsi="Arial"/>
                <w:i/>
                <w:iCs/>
                <w:color w:val="B45309"/>
                <w:sz w:val="20"/>
                <w:szCs w:val="20"/>
              </w:rPr>
              <w:t xml:space="preserve">If ESFR (Early Suppression Fast Response) sprinklers are installed, the clearance requirement between the top load level and the sprinkler deflector is typically 900 mm minimum. This reduces the effective H_useful by approximately 0.9 m compared to a standard sprinkler system. Check the fire engineering specification.</w:t>
            </w:r>
          </w:p>
        </w:tc>
      </w:tr>
    </w:tbl>
    <w:p>
      <w:pPr>
        <w:spacing w:after="80" w:before="0"/>
      </w:pPr>
    </w:p>
    <w:p>
      <w:pPr>
        <w:pStyle w:val="Heading3"/>
        <w:spacing w:after="80" w:before="200"/>
      </w:pPr>
      <w:r>
        <w:rPr>
          <w:rFonts w:ascii="Arial" w:cs="Arial" w:eastAsia="Arial" w:hAnsi="Arial"/>
          <w:b/>
          <w:bCs/>
          <w:color w:val="374151"/>
          <w:sz w:val="22"/>
          <w:szCs w:val="22"/>
        </w:rPr>
        <w:t xml:space="preserve">N_trains — Fleet size (trains / vehicles)</w:t>
      </w:r>
    </w:p>
    <w:p>
      <w:pPr>
        <w:spacing w:after="140" w:before="0"/>
      </w:pPr>
      <w:r>
        <w:rPr>
          <w:rFonts w:ascii="Arial" w:cs="Arial" w:eastAsia="Arial" w:hAnsi="Arial"/>
          <w:sz w:val="22"/>
          <w:szCs w:val="22"/>
        </w:rPr>
        <w:t xml:space="preserve">The total number of trains or vehicles maintained from this depot. In v8, this field is informational — it does not drive any calculation directly. It is retained for project identification and will drive stock quantity calculations in a future module.</w:t>
      </w:r>
    </w:p>
    <w:p>
      <w:pPr>
        <w:spacing w:after="140" w:before="0"/>
      </w:pPr>
      <w:r>
        <w:rPr>
          <w:rFonts w:ascii="Arial" w:cs="Arial" w:eastAsia="Arial" w:hAnsi="Arial"/>
          <w:b/>
          <w:bCs/>
          <w:color w:val="000000"/>
          <w:sz w:val="22"/>
          <w:szCs w:val="22"/>
        </w:rPr>
        <w:t xml:space="preserve">Typical range: </w:t>
      </w:r>
      <w:r>
        <w:rPr>
          <w:rFonts w:ascii="Arial" w:cs="Arial" w:eastAsia="Arial" w:hAnsi="Arial"/>
          <w:sz w:val="22"/>
          <w:szCs w:val="22"/>
        </w:rPr>
        <w:t xml:space="preserve">10 – 200 vehicles depending on the system type and depot scope.</w:t>
      </w:r>
    </w:p>
    <w:p>
      <w:pPr>
        <w:spacing w:after="80" w:before="0"/>
      </w:pPr>
    </w:p>
    <w:p>
      <w:pPr>
        <w:pStyle w:val="Heading3"/>
        <w:spacing w:after="80" w:before="200"/>
      </w:pPr>
      <w:r>
        <w:rPr>
          <w:rFonts w:ascii="Arial" w:cs="Arial" w:eastAsia="Arial" w:hAnsi="Arial"/>
          <w:b/>
          <w:bCs/>
          <w:color w:val="374151"/>
          <w:sz w:val="22"/>
          <w:szCs w:val="22"/>
        </w:rPr>
        <w:t xml:space="preserve">L_line — Line length (km)</w:t>
      </w:r>
    </w:p>
    <w:p>
      <w:pPr>
        <w:spacing w:after="140" w:before="0"/>
      </w:pPr>
      <w:r>
        <w:rPr>
          <w:rFonts w:ascii="Arial" w:cs="Arial" w:eastAsia="Arial" w:hAnsi="Arial"/>
          <w:sz w:val="22"/>
          <w:szCs w:val="22"/>
        </w:rPr>
        <w:t xml:space="preserve">The total line length served by this depot. Also informational in v8. In a future version, line length may be used to estimate track-interface component stock quantities (rails, sleepers, fasteners) for Heavy Rail depots.</w:t>
      </w:r>
    </w:p>
    <w:p>
      <w:pPr>
        <w:spacing w:after="80" w:before="0"/>
      </w:pPr>
    </w:p>
    <w:p>
      <w:pPr>
        <w:pStyle w:val="Heading2"/>
        <w:spacing w:after="120" w:before="280"/>
      </w:pPr>
      <w:r>
        <w:rPr>
          <w:rFonts w:ascii="Arial" w:cs="Arial" w:eastAsia="Arial" w:hAnsi="Arial"/>
          <w:b/>
          <w:bCs/>
          <w:color w:val="1D4ED8"/>
          <w:sz w:val="26"/>
          <w:szCs w:val="26"/>
        </w:rPr>
        <w:t xml:space="preserve">2.2  Storage Family Distribution</w:t>
      </w:r>
    </w:p>
    <w:p>
      <w:pPr>
        <w:spacing w:after="140" w:before="0"/>
      </w:pPr>
      <w:r>
        <w:rPr>
          <w:rFonts w:ascii="Arial" w:cs="Arial" w:eastAsia="Arial" w:hAnsi="Arial"/>
          <w:sz w:val="22"/>
          <w:szCs w:val="22"/>
        </w:rPr>
        <w:t xml:space="preserve">This section is where you define how S_net — the net storage area — is divided between the eight storage families. Each family has a percentage share and a storage type. The shares must sum to exactly 100%.</w:t>
      </w:r>
    </w:p>
    <w:p>
      <w:pPr>
        <w:spacing w:after="80" w:before="0"/>
      </w:pPr>
    </w:p>
    <w:p>
      <w:pPr>
        <w:pStyle w:val="Heading3"/>
        <w:spacing w:after="80" w:before="200"/>
      </w:pPr>
      <w:r>
        <w:rPr>
          <w:rFonts w:ascii="Arial" w:cs="Arial" w:eastAsia="Arial" w:hAnsi="Arial"/>
          <w:b/>
          <w:bCs/>
          <w:color w:val="374151"/>
          <w:sz w:val="22"/>
          <w:szCs w:val="22"/>
        </w:rPr>
        <w:t xml:space="preserve">Understanding shares</w:t>
      </w:r>
    </w:p>
    <w:p>
      <w:pPr>
        <w:spacing w:after="140" w:before="0"/>
      </w:pPr>
      <w:r>
        <w:rPr>
          <w:rFonts w:ascii="Arial" w:cs="Arial" w:eastAsia="Arial" w:hAnsi="Arial"/>
          <w:sz w:val="22"/>
          <w:szCs w:val="22"/>
        </w:rPr>
        <w:t xml:space="preserve">A share is the fraction of the net storage area allocated to a given parts category. It reflects the relative volumetric weight of that category in the depot stock policy.</w:t>
      </w:r>
    </w:p>
    <w:p>
      <w:pPr>
        <w:spacing w:after="140" w:before="0"/>
      </w:pPr>
      <w:r>
        <w:rPr>
          <w:rFonts w:ascii="Arial" w:cs="Arial" w:eastAsia="Arial" w:hAnsi="Arial"/>
          <w:b/>
          <w:bCs/>
          <w:color w:val="000000"/>
          <w:sz w:val="22"/>
          <w:szCs w:val="22"/>
        </w:rPr>
        <w:t xml:space="preserve">Example: </w:t>
      </w:r>
      <w:r>
        <w:rPr>
          <w:rFonts w:ascii="Arial" w:cs="Arial" w:eastAsia="Arial" w:hAnsi="Arial"/>
          <w:sz w:val="22"/>
          <w:szCs w:val="22"/>
        </w:rPr>
        <w:t xml:space="preserve">if the Palletized heavy parts family has a share of 30%, then 30% of S_net (= 702 × 0.30 = 210.6 m²) is allocated to that family before any further calculation.</w:t>
      </w:r>
    </w:p>
    <w:p>
      <w:pPr>
        <w:spacing w:after="140" w:before="0"/>
      </w:pPr>
      <w:r>
        <w:rPr>
          <w:rFonts w:ascii="Arial" w:cs="Arial" w:eastAsia="Arial" w:hAnsi="Arial"/>
          <w:sz w:val="22"/>
          <w:szCs w:val="22"/>
        </w:rPr>
        <w:t xml:space="preserve">Shares are set by judgement based on:</w:t>
      </w:r>
    </w:p>
    <w:p>
      <w:pPr>
        <w:pStyle w:val="ListParagraph"/>
        <w:numPr>
          <w:ilvl w:val="0"/>
          <w:numId w:val="2"/>
        </w:numPr>
        <w:spacing w:after="80" w:before="0"/>
        <w:ind w:left="720" w:hanging="360"/>
      </w:pPr>
      <w:r>
        <w:rPr>
          <w:rFonts w:ascii="Arial" w:cs="Arial" w:eastAsia="Arial" w:hAnsi="Arial"/>
          <w:sz w:val="20"/>
          <w:szCs w:val="20"/>
        </w:rPr>
        <w:t xml:space="preserve">The system type (Metro, Tram, APM, Heavy Rail) — each has typical profiles, accessible via the profile buttons.</w:t>
      </w:r>
    </w:p>
    <w:p>
      <w:pPr>
        <w:pStyle w:val="ListParagraph"/>
        <w:numPr>
          <w:ilvl w:val="0"/>
          <w:numId w:val="2"/>
        </w:numPr>
        <w:spacing w:after="80" w:before="0"/>
        <w:ind w:left="720" w:hanging="360"/>
      </w:pPr>
      <w:r>
        <w:rPr>
          <w:rFonts w:ascii="Arial" w:cs="Arial" w:eastAsia="Arial" w:hAnsi="Arial"/>
          <w:sz w:val="20"/>
          <w:szCs w:val="20"/>
        </w:rPr>
        <w:t xml:space="preserve">The depot maintenance strategy (in-house vs OEM, Maintenance by Stock vs JIT, rotable pool size).</w:t>
      </w:r>
    </w:p>
    <w:p>
      <w:pPr>
        <w:pStyle w:val="ListParagraph"/>
        <w:numPr>
          <w:ilvl w:val="0"/>
          <w:numId w:val="2"/>
        </w:numPr>
        <w:spacing w:after="80" w:before="0"/>
        <w:ind w:left="720" w:hanging="360"/>
      </w:pPr>
      <w:r>
        <w:rPr>
          <w:rFonts w:ascii="Arial" w:cs="Arial" w:eastAsia="Arial" w:hAnsi="Arial"/>
          <w:sz w:val="20"/>
          <w:szCs w:val="20"/>
        </w:rPr>
        <w:t xml:space="preserve">The fleet composition and known heavy items (bogies, wheels, traction inverters, etc.).</w:t>
      </w:r>
    </w:p>
    <w:p>
      <w:pPr>
        <w:spacing w:after="80" w:before="0"/>
      </w:pPr>
    </w:p>
    <w:p>
      <w:pPr>
        <w:pStyle w:val="Heading3"/>
        <w:spacing w:after="80" w:before="200"/>
      </w:pPr>
      <w:r>
        <w:rPr>
          <w:rFonts w:ascii="Arial" w:cs="Arial" w:eastAsia="Arial" w:hAnsi="Arial"/>
          <w:b/>
          <w:bCs/>
          <w:color w:val="374151"/>
          <w:sz w:val="22"/>
          <w:szCs w:val="22"/>
        </w:rPr>
        <w:t xml:space="preserve">System profile buttons</w:t>
      </w:r>
    </w:p>
    <w:p>
      <w:pPr>
        <w:spacing w:after="140" w:before="0"/>
      </w:pPr>
      <w:r>
        <w:rPr>
          <w:rFonts w:ascii="Arial" w:cs="Arial" w:eastAsia="Arial" w:hAnsi="Arial"/>
          <w:sz w:val="22"/>
          <w:szCs w:val="22"/>
        </w:rPr>
        <w:t xml:space="preserve">The four buttons (Metro, Tram, APM, Heavy Rail) load pre-set share distributions based on typical industry values. Use these as a starting point and then adjust individual shares to reflect your project.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800"/>
        <w:gridCol w:w="800"/>
        <w:gridCol w:w="860"/>
        <w:gridCol w:w="800"/>
        <w:gridCol w:w="800"/>
        <w:gridCol w:w="800"/>
        <w:gridCol w:w="1166"/>
      </w:tblGrid>
      <w:tr>
        <w:tc>
          <w:tcPr>
            <w:tcW w:type="dxa" w:w="11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System</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Small parts</w:t>
            </w:r>
          </w:p>
        </w:tc>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Medium</w:t>
            </w:r>
          </w:p>
        </w:tc>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Pallets</w:t>
            </w:r>
          </w:p>
        </w:tc>
        <w:tc>
          <w:tcPr>
            <w:tcW w:type="dxa" w:w="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Cantilever</w:t>
            </w:r>
          </w:p>
        </w:tc>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Floor</w:t>
            </w:r>
          </w:p>
        </w:tc>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Dedicated</w:t>
            </w:r>
          </w:p>
        </w:tc>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Tools</w:t>
            </w:r>
          </w:p>
        </w:tc>
        <w:tc>
          <w:tcPr>
            <w:tcW w:type="dxa" w:w="116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Repairables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Metro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30%</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5%</w:t>
            </w:r>
          </w:p>
        </w:tc>
        <w:tc>
          <w:tcPr>
            <w:tcW w:type="dxa" w:w="11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10%</w:t>
            </w:r>
          </w:p>
        </w:tc>
      </w:tr>
      <w:tr>
        <w:tc>
          <w:tcPr>
            <w:tcW w:type="dxa" w:w="11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Tram</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25%</w:t>
            </w:r>
          </w:p>
        </w:tc>
        <w:tc>
          <w:tcPr>
            <w:tcW w:type="dxa" w:w="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20%</w:t>
            </w:r>
          </w:p>
        </w:tc>
        <w:tc>
          <w:tcPr>
            <w:tcW w:type="dxa" w:w="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20%</w:t>
            </w:r>
          </w:p>
        </w:tc>
        <w:tc>
          <w:tcPr>
            <w:tcW w:type="dxa" w:w="8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5%</w:t>
            </w:r>
          </w:p>
        </w:tc>
        <w:tc>
          <w:tcPr>
            <w:tcW w:type="dxa" w:w="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8%</w:t>
            </w:r>
          </w:p>
        </w:tc>
        <w:tc>
          <w:tcPr>
            <w:tcW w:type="dxa" w:w="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5%</w:t>
            </w:r>
          </w:p>
        </w:tc>
        <w:tc>
          <w:tcPr>
            <w:tcW w:type="dxa" w:w="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7%</w:t>
            </w:r>
          </w:p>
        </w:tc>
        <w:tc>
          <w:tcPr>
            <w:tcW w:type="dxa" w:w="116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10%</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APM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20%</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8%</w:t>
            </w:r>
          </w:p>
        </w:tc>
        <w:tc>
          <w:tcPr>
            <w:tcW w:type="dxa" w:w="11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10%</w:t>
            </w:r>
          </w:p>
        </w:tc>
      </w:tr>
      <w:tr>
        <w:tc>
          <w:tcPr>
            <w:tcW w:type="dxa" w:w="11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Heavy Rail</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15%</w:t>
            </w:r>
          </w:p>
        </w:tc>
        <w:tc>
          <w:tcPr>
            <w:tcW w:type="dxa" w:w="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15%</w:t>
            </w:r>
          </w:p>
        </w:tc>
        <w:tc>
          <w:tcPr>
            <w:tcW w:type="dxa" w:w="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35%</w:t>
            </w:r>
          </w:p>
        </w:tc>
        <w:tc>
          <w:tcPr>
            <w:tcW w:type="dxa" w:w="8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8%</w:t>
            </w:r>
          </w:p>
        </w:tc>
        <w:tc>
          <w:tcPr>
            <w:tcW w:type="dxa" w:w="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12%</w:t>
            </w:r>
          </w:p>
        </w:tc>
        <w:tc>
          <w:tcPr>
            <w:tcW w:type="dxa" w:w="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3%</w:t>
            </w:r>
          </w:p>
        </w:tc>
        <w:tc>
          <w:tcPr>
            <w:tcW w:type="dxa" w:w="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5%</w:t>
            </w:r>
          </w:p>
        </w:tc>
        <w:tc>
          <w:tcPr>
            <w:tcW w:type="dxa" w:w="116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7%</w:t>
            </w:r>
          </w:p>
        </w:tc>
      </w:tr>
    </w:tbl>
    <w:p>
      <w:pPr>
        <w:spacing w:after="80" w:before="0"/>
      </w:pPr>
    </w:p>
    <w:p>
      <w:pPr>
        <w:pStyle w:val="Heading3"/>
        <w:spacing w:after="80" w:before="200"/>
      </w:pPr>
      <w:r>
        <w:rPr>
          <w:rFonts w:ascii="Arial" w:cs="Arial" w:eastAsia="Arial" w:hAnsi="Arial"/>
          <w:b/>
          <w:bCs/>
          <w:color w:val="374151"/>
          <w:sz w:val="22"/>
          <w:szCs w:val="22"/>
        </w:rPr>
        <w:t xml:space="preserve">The eight families — detail</w:t>
      </w:r>
    </w:p>
    <w:p>
      <w:pPr>
        <w:spacing w:after="140" w:before="0"/>
      </w:pPr>
      <w:r>
        <w:rPr>
          <w:rFonts w:ascii="Arial" w:cs="Arial" w:eastAsia="Arial" w:hAnsi="Arial"/>
          <w:sz w:val="22"/>
          <w:szCs w:val="22"/>
        </w:rPr>
        <w:t xml:space="preserve">Each family is described below with its typical content, default storage type, and guidance on how to adjust its share.</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200"/>
        <w:gridCol w:w="3626"/>
      </w:tblGrid>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Family</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Default type</w:t>
            </w:r>
          </w:p>
        </w:tc>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Typical content</w:t>
            </w:r>
          </w:p>
        </w:tc>
        <w:tc>
          <w:tcPr>
            <w:tcW w:type="dxa" w:w="36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How to adjust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Small parts
/ fasteners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Shelving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Fasteners, hardware, small electrical parts, seals, connectors, fuses, bin-box items. Usually high SKU count, low individual volume.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Increase for APM/Tram with high electronic component density. Reduce for Heavy Rail with simpler electrical architecture.</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Medium parts
/ cartons</w:t>
            </w:r>
          </w:p>
        </w:tc>
        <w:tc>
          <w:tcPr>
            <w:tcW w:type="dxa" w:w="1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Shelving</w:t>
            </w:r>
          </w:p>
        </w:tc>
        <w:tc>
          <w:tcPr>
            <w:tcW w:type="dxa" w:w="3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Boxed sub-assemblies, relays, packaged electronic modules, medium-size spare parts in OEM cartons.</w:t>
            </w:r>
          </w:p>
        </w:tc>
        <w:tc>
          <w:tcPr>
            <w:tcW w:type="dxa" w:w="36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Increase for systems with high consumption of exchangeable sub-assemblies (LRU strategy).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Palletized
heavy parts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Pallet racks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Heavy parts on pallets, bulk lots, large packaged assemblies, components stored in OEM crates, year-stock of heavy items.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Heavy Rail: increase to 35-40%. APM/Tram: reduce to 20-25% — smaller, lighter components.</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Long indoor
parts</w:t>
            </w:r>
          </w:p>
        </w:tc>
        <w:tc>
          <w:tcPr>
            <w:tcW w:type="dxa" w:w="1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Cantilever</w:t>
            </w:r>
          </w:p>
        </w:tc>
        <w:tc>
          <w:tcPr>
            <w:tcW w:type="dxa" w:w="3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Profiles, tubes, bars, indoor rail sections, guard rails, long cable runs, structural sections stored horizontally.</w:t>
            </w:r>
          </w:p>
        </w:tc>
        <w:tc>
          <w:tcPr>
            <w:tcW w:type="dxa" w:w="36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Heavy Rail: 8-10% if storing long track-interface components. APM: 3-4% — few long items.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Heavy /
irregular parts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Floor 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Bogies, gearboxes, lifting jigs, non-palletisable sub-assemblies, large frames, special tooling, items requiring crane placement.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Reduce if bogies and large items are managed in a dedicated workshop bogie area outside the central store.</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Sensitive /
regulated</w:t>
            </w:r>
          </w:p>
        </w:tc>
        <w:tc>
          <w:tcPr>
            <w:tcW w:type="dxa" w:w="1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Dedicated area</w:t>
            </w:r>
          </w:p>
        </w:tc>
        <w:tc>
          <w:tcPr>
            <w:tcW w:type="dxa" w:w="3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Chemicals (lubricants, cleaning agents, adhesives), traction batteries, auxiliary batteries, ESD-sensitive parts, ATEX-classified materials, controlled spare parts.</w:t>
            </w:r>
          </w:p>
        </w:tc>
        <w:tc>
          <w:tcPr>
            <w:tcW w:type="dxa" w:w="36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APM: 7-8% if large Li-ion/NiMH batteries. Always plan a dedicated EHS room regardless of share percentage.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Tools /
consumables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Shelving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Hand tools, PPE, lubricants, workshop consumables, grinding discs, wipers, cleaning products.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Increase for multi-discipline depots covering track + infrastructure + rolling stock maintenance.</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Repairables
/ rotables</w:t>
            </w:r>
          </w:p>
        </w:tc>
        <w:tc>
          <w:tcPr>
            <w:tcW w:type="dxa" w:w="1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Repairables</w:t>
            </w:r>
          </w:p>
        </w:tc>
        <w:tc>
          <w:tcPr>
            <w:tcW w:type="dxa" w:w="3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Repairable sub-assemblies awaiting OEM repair or in-house workshop repair (traction inverters, motors, compressors, door mechanisms, brake modules).</w:t>
            </w:r>
          </w:p>
        </w:tc>
        <w:tc>
          <w:tcPr>
            <w:tcW w:type="dxa" w:w="36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Reduce if centralised exchange pool managed outside depot. Increase for high-value LRU-heavy fleets.</w:t>
            </w:r>
          </w:p>
        </w:tc>
      </w:tr>
    </w:tbl>
    <w:p>
      <w:pPr>
        <w:spacing w:after="80" w:before="0"/>
      </w:pPr>
    </w:p>
    <w:p>
      <w:pPr>
        <w:pStyle w:val="Heading3"/>
        <w:spacing w:after="80" w:before="200"/>
      </w:pPr>
      <w:r>
        <w:rPr>
          <w:rFonts w:ascii="Arial" w:cs="Arial" w:eastAsia="Arial" w:hAnsi="Arial"/>
          <w:b/>
          <w:bCs/>
          <w:color w:val="374151"/>
          <w:sz w:val="22"/>
          <w:szCs w:val="22"/>
        </w:rPr>
        <w:t xml:space="preserve">Changing storage types</w:t>
      </w:r>
    </w:p>
    <w:p>
      <w:pPr>
        <w:spacing w:after="140" w:before="0"/>
      </w:pPr>
      <w:r>
        <w:rPr>
          <w:rFonts w:ascii="Arial" w:cs="Arial" w:eastAsia="Arial" w:hAnsi="Arial"/>
          <w:sz w:val="22"/>
          <w:szCs w:val="22"/>
        </w:rPr>
        <w:t xml:space="preserve">Each family has a dropdown to change its storage type. Changing the type changes which efficiency factor and which conversion formula are applied to that family. For example, if a project stores its medium parts on pallets rather than shelving, simply change the type for that family from "Shelving" to "Pallet racks".</w:t>
      </w:r>
    </w:p>
    <w:p>
      <w:pPr>
        <w:spacing w:after="80" w:before="0"/>
      </w:pPr>
    </w:p>
    <w:tbl>
      <w:tblPr>
        <w:tblW w:type="dxa" w:w="9026"/>
        <w:tblBorders>
          <w:top w:val="none"/>
          <w:left w:val="single" w:color="374151" w:sz="16"/>
          <w:bottom w:val="none"/>
          <w:right w:val="none"/>
          <w:insideH w:val="single" w:color="auto" w:sz="4"/>
          <w:insideV w:val="single" w:color="auto" w:sz="4"/>
        </w:tblBorders>
      </w:tblPr>
      <w:tblGrid>
        <w:gridCol w:w="9026"/>
      </w:tblGrid>
      <w:tr>
        <w:tc>
          <w:tcPr>
            <w:tcW w:type="dxa" w:w="9026"/>
            <w:shd w:fill="F1F5F9" w:val="clear"/>
            <w:tcMar>
              <w:top w:type="dxa" w:w="100"/>
              <w:left w:type="dxa" w:w="200"/>
              <w:bottom w:type="dxa" w:w="100"/>
              <w:right w:type="dxa" w:w="160"/>
            </w:tcMar>
          </w:tcPr>
          <w:p>
            <w:pPr>
              <w:spacing w:after="0" w:before="0"/>
            </w:pPr>
            <w:r>
              <w:rPr>
                <w:rFonts w:ascii="Arial" w:cs="Arial" w:eastAsia="Arial" w:hAnsi="Arial"/>
                <w:i/>
                <w:iCs/>
                <w:color w:val="374151"/>
                <w:sz w:val="20"/>
                <w:szCs w:val="20"/>
              </w:rPr>
              <w:t xml:space="preserve">The storage type for the Repairables family is set to "Repairables" by default, which uses a mixed efficiency factor (average of eff_pal and eff_flo) and outputs a raw m² proxy. This is intentional — the repairables zone must be sub-divided manually once the actual rotable pool is known.</w:t>
            </w:r>
          </w:p>
        </w:tc>
      </w:tr>
    </w:tbl>
    <w:p>
      <w:pPr>
        <w:spacing w:after="0" w:before="0"/>
      </w:pPr>
      <w:r>
        <w:br w:type="page"/>
      </w:r>
    </w:p>
    <w:p>
      <w:pPr>
        <w:pStyle w:val="Heading1"/>
        <w:pBdr>
          <w:bottom w:val="single" w:color="1D4ED8" w:sz="8" w:space="4"/>
        </w:pBdr>
        <w:spacing w:after="200" w:before="360"/>
      </w:pPr>
      <w:r>
        <w:rPr>
          <w:rFonts w:ascii="Arial" w:cs="Arial" w:eastAsia="Arial" w:hAnsi="Arial"/>
          <w:b/>
          <w:bCs/>
          <w:color w:val="1F3864"/>
          <w:sz w:val="32"/>
          <w:szCs w:val="32"/>
        </w:rPr>
        <w:t xml:space="preserve">Chapter 3 — Assumptions Tab</w:t>
      </w:r>
    </w:p>
    <w:p>
      <w:pPr>
        <w:spacing w:after="140" w:before="0"/>
      </w:pPr>
      <w:r>
        <w:rPr>
          <w:rFonts w:ascii="Arial" w:cs="Arial" w:eastAsia="Arial" w:hAnsi="Arial"/>
          <w:sz w:val="22"/>
          <w:szCs w:val="22"/>
        </w:rPr>
        <w:t xml:space="preserve">The Assumptions tab contains 31 editable parameters organised in eight sections. Every parameter has a direct effect on the calculation chain. Default values are calibrated for a standard Metro depot. Change a parameter only when you have a specific reason (project constraint, different pallet standard, different aisle policy).</w:t>
      </w:r>
    </w:p>
    <w:p>
      <w:pPr>
        <w:spacing w:after="80" w:before="0"/>
      </w:pPr>
    </w:p>
    <w:p>
      <w:pPr>
        <w:pStyle w:val="Heading2"/>
        <w:spacing w:after="120" w:before="280"/>
      </w:pPr>
      <w:r>
        <w:rPr>
          <w:rFonts w:ascii="Arial" w:cs="Arial" w:eastAsia="Arial" w:hAnsi="Arial"/>
          <w:b/>
          <w:bCs/>
          <w:color w:val="1D4ED8"/>
          <w:sz w:val="26"/>
          <w:szCs w:val="26"/>
        </w:rPr>
        <w:t xml:space="preserve">3.1  Area Allocation</w:t>
      </w:r>
    </w:p>
    <w:p>
      <w:pPr>
        <w:pStyle w:val="Heading3"/>
        <w:spacing w:after="80" w:before="200"/>
      </w:pPr>
      <w:r>
        <w:rPr>
          <w:rFonts w:ascii="Arial" w:cs="Arial" w:eastAsia="Arial" w:hAnsi="Arial"/>
          <w:b/>
          <w:bCs/>
          <w:color w:val="374151"/>
          <w:sz w:val="22"/>
          <w:szCs w:val="22"/>
        </w:rPr>
        <w:t xml:space="preserve">k_store — Store allocation ratio (%)</w:t>
      </w:r>
    </w:p>
    <w:p>
      <w:pPr>
        <w:spacing w:after="140" w:before="0"/>
      </w:pPr>
      <w:r>
        <w:rPr>
          <w:rFonts w:ascii="Arial" w:cs="Arial" w:eastAsia="Arial" w:hAnsi="Arial"/>
          <w:sz w:val="22"/>
          <w:szCs w:val="22"/>
        </w:rPr>
        <w:t xml:space="preserve">This is the fraction of the total workshop surface (S_workshop) that is allocated to the central store building or store zone.</w:t>
      </w:r>
    </w:p>
    <w:p>
      <w:pPr>
        <w:spacing w:after="140" w:before="0"/>
      </w:pPr>
      <w:r>
        <w:rPr>
          <w:rFonts w:ascii="Arial" w:cs="Arial" w:eastAsia="Arial" w:hAnsi="Arial"/>
          <w:b/>
          <w:bCs/>
          <w:color w:val="000000"/>
          <w:sz w:val="22"/>
          <w:szCs w:val="22"/>
        </w:rPr>
        <w:t xml:space="preserve">Formula used: </w:t>
      </w:r>
      <w:r>
        <w:rPr>
          <w:rFonts w:ascii="Courier New" w:cs="Courier New" w:eastAsia="Courier New" w:hAnsi="Courier New"/>
          <w:color w:val="1D4ED8"/>
          <w:sz w:val="20"/>
          <w:szCs w:val="20"/>
        </w:rPr>
        <w:t xml:space="preserve">S_gross = S_workshop × k_store</w:t>
      </w:r>
    </w:p>
    <w:p>
      <w:pPr>
        <w:spacing w:after="140" w:before="0"/>
      </w:pPr>
      <w:r>
        <w:rPr>
          <w:rFonts w:ascii="Arial" w:cs="Arial" w:eastAsia="Arial" w:hAnsi="Arial"/>
          <w:b/>
          <w:bCs/>
          <w:color w:val="000000"/>
          <w:sz w:val="22"/>
          <w:szCs w:val="22"/>
        </w:rPr>
        <w:t xml:space="preserve">Default: </w:t>
      </w:r>
      <w:r>
        <w:rPr>
          <w:rFonts w:ascii="Courier New" w:cs="Courier New" w:eastAsia="Courier New" w:hAnsi="Courier New"/>
          <w:color w:val="1D4ED8"/>
          <w:sz w:val="20"/>
          <w:szCs w:val="20"/>
        </w:rPr>
        <w:t xml:space="preserve">18%</w:t>
      </w:r>
      <w:r>
        <w:rPr>
          <w:rFonts w:ascii="Arial" w:cs="Arial" w:eastAsia="Arial" w:hAnsi="Arial"/>
          <w:sz w:val="22"/>
          <w:szCs w:val="22"/>
        </w:rPr>
        <w:t xml:space="preserve">. For a 6 000 m² workshop this gives S_gross = 1 080 m².</w:t>
      </w:r>
    </w:p>
    <w:p>
      <w:pPr>
        <w:spacing w:after="140" w:before="0"/>
      </w:pPr>
      <w:r>
        <w:rPr>
          <w:rFonts w:ascii="Arial" w:cs="Arial" w:eastAsia="Arial" w:hAnsi="Arial"/>
          <w:b/>
          <w:bCs/>
          <w:color w:val="000000"/>
          <w:sz w:val="22"/>
          <w:szCs w:val="22"/>
        </w:rPr>
        <w:t xml:space="preserve">Typical range: </w:t>
      </w:r>
      <w:r>
        <w:rPr>
          <w:rFonts w:ascii="Arial" w:cs="Arial" w:eastAsia="Arial" w:hAnsi="Arial"/>
          <w:sz w:val="22"/>
          <w:szCs w:val="22"/>
        </w:rPr>
        <w:t xml:space="preserve">15 – 25%. Use 15-18% for lean/JIT supply depots. Use 20-25% for depots with extended stock policy (Maintenance by Stock) or multi-discipline scope.</w:t>
      </w:r>
    </w:p>
    <w:p>
      <w:pPr>
        <w:spacing w:after="80" w:before="0"/>
      </w:pPr>
    </w:p>
    <w:p>
      <w:pPr>
        <w:pStyle w:val="Heading3"/>
        <w:spacing w:after="80" w:before="200"/>
      </w:pPr>
      <w:r>
        <w:rPr>
          <w:rFonts w:ascii="Arial" w:cs="Arial" w:eastAsia="Arial" w:hAnsi="Arial"/>
          <w:b/>
          <w:bCs/>
          <w:color w:val="374151"/>
          <w:sz w:val="22"/>
          <w:szCs w:val="22"/>
        </w:rPr>
        <w:t xml:space="preserve">k_nostor — Non-storage ratio within the store (%)</w:t>
      </w:r>
    </w:p>
    <w:p>
      <w:pPr>
        <w:spacing w:after="140" w:before="0"/>
      </w:pPr>
      <w:r>
        <w:rPr>
          <w:rFonts w:ascii="Arial" w:cs="Arial" w:eastAsia="Arial" w:hAnsi="Arial"/>
          <w:sz w:val="22"/>
          <w:szCs w:val="22"/>
        </w:rPr>
        <w:t xml:space="preserve">This is the fraction of S_gross that is occupied by support functions inside the store — functions that do not directly house stock.</w:t>
      </w:r>
    </w:p>
    <w:p>
      <w:pPr>
        <w:spacing w:after="140" w:before="0"/>
      </w:pPr>
      <w:r>
        <w:rPr>
          <w:rFonts w:ascii="Arial" w:cs="Arial" w:eastAsia="Arial" w:hAnsi="Arial"/>
          <w:b/>
          <w:bCs/>
          <w:color w:val="000000"/>
          <w:sz w:val="22"/>
          <w:szCs w:val="22"/>
        </w:rPr>
        <w:t xml:space="preserve">Formula used: </w:t>
      </w:r>
      <w:r>
        <w:rPr>
          <w:rFonts w:ascii="Courier New" w:cs="Courier New" w:eastAsia="Courier New" w:hAnsi="Courier New"/>
          <w:color w:val="1D4ED8"/>
          <w:sz w:val="20"/>
          <w:szCs w:val="20"/>
        </w:rPr>
        <w:t xml:space="preserve">S_nostor = S_gross × k_nostor</w:t>
      </w:r>
    </w:p>
    <w:p>
      <w:pPr>
        <w:spacing w:after="140" w:before="0"/>
      </w:pPr>
      <w:r>
        <w:rPr>
          <w:rFonts w:ascii="Arial" w:cs="Arial" w:eastAsia="Arial" w:hAnsi="Arial"/>
          <w:sz w:val="22"/>
          <w:szCs w:val="22"/>
        </w:rPr>
        <w:t xml:space="preserve">Typical breakdown of k_nostor:</w:t>
      </w:r>
    </w:p>
    <w:p>
      <w:pPr>
        <w:pStyle w:val="ListParagraph"/>
        <w:numPr>
          <w:ilvl w:val="0"/>
          <w:numId w:val="2"/>
        </w:numPr>
        <w:spacing w:after="80" w:before="0"/>
        <w:ind w:left="720" w:hanging="360"/>
      </w:pPr>
      <w:r>
        <w:rPr>
          <w:rFonts w:ascii="Arial" w:cs="Arial" w:eastAsia="Arial" w:hAnsi="Arial"/>
          <w:sz w:val="20"/>
          <w:szCs w:val="20"/>
        </w:rPr>
        <w:t xml:space="preserve">Unloading/loading dock: ~8%</w:t>
      </w:r>
    </w:p>
    <w:p>
      <w:pPr>
        <w:pStyle w:val="ListParagraph"/>
        <w:numPr>
          <w:ilvl w:val="0"/>
          <w:numId w:val="2"/>
        </w:numPr>
        <w:spacing w:after="80" w:before="0"/>
        <w:ind w:left="720" w:hanging="360"/>
      </w:pPr>
      <w:r>
        <w:rPr>
          <w:rFonts w:ascii="Arial" w:cs="Arial" w:eastAsia="Arial" w:hAnsi="Arial"/>
          <w:sz w:val="20"/>
          <w:szCs w:val="20"/>
        </w:rPr>
        <w:t xml:space="preserve">Inbound inspection and control zone: ~5%</w:t>
      </w:r>
    </w:p>
    <w:p>
      <w:pPr>
        <w:pStyle w:val="ListParagraph"/>
        <w:numPr>
          <w:ilvl w:val="0"/>
          <w:numId w:val="2"/>
        </w:numPr>
        <w:spacing w:after="80" w:before="0"/>
        <w:ind w:left="720" w:hanging="360"/>
      </w:pPr>
      <w:r>
        <w:rPr>
          <w:rFonts w:ascii="Arial" w:cs="Arial" w:eastAsia="Arial" w:hAnsi="Arial"/>
          <w:sz w:val="20"/>
          <w:szCs w:val="20"/>
        </w:rPr>
        <w:t xml:space="preserve">Quarantine / returns holding: ~3%</w:t>
      </w:r>
    </w:p>
    <w:p>
      <w:pPr>
        <w:pStyle w:val="ListParagraph"/>
        <w:numPr>
          <w:ilvl w:val="0"/>
          <w:numId w:val="2"/>
        </w:numPr>
        <w:spacing w:after="80" w:before="0"/>
        <w:ind w:left="720" w:hanging="360"/>
      </w:pPr>
      <w:r>
        <w:rPr>
          <w:rFonts w:ascii="Arial" w:cs="Arial" w:eastAsia="Arial" w:hAnsi="Arial"/>
          <w:sz w:val="20"/>
          <w:szCs w:val="20"/>
        </w:rPr>
        <w:t xml:space="preserve">Outbound staging and kitting area: ~5%</w:t>
      </w:r>
    </w:p>
    <w:p>
      <w:pPr>
        <w:pStyle w:val="ListParagraph"/>
        <w:numPr>
          <w:ilvl w:val="0"/>
          <w:numId w:val="2"/>
        </w:numPr>
        <w:spacing w:after="80" w:before="0"/>
        <w:ind w:left="720" w:hanging="360"/>
      </w:pPr>
      <w:r>
        <w:rPr>
          <w:rFonts w:ascii="Arial" w:cs="Arial" w:eastAsia="Arial" w:hAnsi="Arial"/>
          <w:sz w:val="20"/>
          <w:szCs w:val="20"/>
        </w:rPr>
        <w:t xml:space="preserve">Storekeeper office and CMMS terminal: ~4%</w:t>
      </w:r>
    </w:p>
    <w:p>
      <w:pPr>
        <w:pStyle w:val="ListParagraph"/>
        <w:numPr>
          <w:ilvl w:val="0"/>
          <w:numId w:val="2"/>
        </w:numPr>
        <w:spacing w:after="80" w:before="0"/>
        <w:ind w:left="720" w:hanging="360"/>
      </w:pPr>
      <w:r>
        <w:rPr>
          <w:rFonts w:ascii="Arial" w:cs="Arial" w:eastAsia="Arial" w:hAnsi="Arial"/>
          <w:sz w:val="20"/>
          <w:szCs w:val="20"/>
        </w:rPr>
        <w:t xml:space="preserve">Main internal circulation: ~10%</w:t>
      </w:r>
    </w:p>
    <w:p>
      <w:pPr>
        <w:spacing w:after="140" w:before="0"/>
      </w:pPr>
      <w:r>
        <w:rPr>
          <w:rFonts w:ascii="Arial" w:cs="Arial" w:eastAsia="Arial" w:hAnsi="Arial"/>
          <w:b/>
          <w:bCs/>
          <w:color w:val="000000"/>
          <w:sz w:val="22"/>
          <w:szCs w:val="22"/>
        </w:rPr>
        <w:t xml:space="preserve">Default: </w:t>
      </w:r>
      <w:r>
        <w:rPr>
          <w:rFonts w:ascii="Courier New" w:cs="Courier New" w:eastAsia="Courier New" w:hAnsi="Courier New"/>
          <w:color w:val="1D4ED8"/>
          <w:sz w:val="20"/>
          <w:szCs w:val="20"/>
        </w:rPr>
        <w:t xml:space="preserve">35%</w:t>
      </w:r>
      <w:r>
        <w:rPr>
          <w:rFonts w:ascii="Arial" w:cs="Arial" w:eastAsia="Arial" w:hAnsi="Arial"/>
          <w:sz w:val="22"/>
          <w:szCs w:val="22"/>
        </w:rPr>
        <w:t xml:space="preserve">. For S_gross = 1 080 m² this gives S_nostor = 378 m² and S_net = 702 m².</w:t>
      </w:r>
    </w:p>
    <w:p>
      <w:pPr>
        <w:spacing w:after="140" w:before="0"/>
      </w:pPr>
      <w:r>
        <w:rPr>
          <w:rFonts w:ascii="Arial" w:cs="Arial" w:eastAsia="Arial" w:hAnsi="Arial"/>
          <w:b/>
          <w:bCs/>
          <w:color w:val="000000"/>
          <w:sz w:val="22"/>
          <w:szCs w:val="22"/>
        </w:rPr>
        <w:t xml:space="preserve">Typical range: </w:t>
      </w:r>
      <w:r>
        <w:rPr>
          <w:rFonts w:ascii="Arial" w:cs="Arial" w:eastAsia="Arial" w:hAnsi="Arial"/>
          <w:sz w:val="22"/>
          <w:szCs w:val="22"/>
        </w:rPr>
        <w:t xml:space="preserve">25 – 45%. Reduce to 25-30% if the unloading dock is external to the store building (separate receiving platform). Increase to 40-45% for depots with a large kitting and preparation area.</w:t>
      </w:r>
    </w:p>
    <w:p>
      <w:pPr>
        <w:spacing w:after="80" w:before="0"/>
      </w:pPr>
    </w:p>
    <w:p>
      <w:pPr>
        <w:pStyle w:val="Heading2"/>
        <w:spacing w:after="120" w:before="280"/>
      </w:pPr>
      <w:r>
        <w:rPr>
          <w:rFonts w:ascii="Arial" w:cs="Arial" w:eastAsia="Arial" w:hAnsi="Arial"/>
          <w:b/>
          <w:bCs/>
          <w:color w:val="1D4ED8"/>
          <w:sz w:val="26"/>
          <w:szCs w:val="26"/>
        </w:rPr>
        <w:t xml:space="preserve">3.2  Target Occupancy Rates</w:t>
      </w:r>
    </w:p>
    <w:p>
      <w:pPr>
        <w:spacing w:after="140" w:before="0"/>
      </w:pPr>
      <w:r>
        <w:rPr>
          <w:rFonts w:ascii="Arial" w:cs="Arial" w:eastAsia="Arial" w:hAnsi="Arial"/>
          <w:sz w:val="22"/>
          <w:szCs w:val="22"/>
        </w:rPr>
        <w:t xml:space="preserve">Occupancy rates define the planned fill level of each equipment type. They are used to calculate the "practical fill" figure shown in the Results tab. They do NOT reduce the installed capacity — they are planning indicators.</w:t>
      </w:r>
    </w:p>
    <w:p>
      <w:pPr>
        <w:spacing w:after="140" w:before="0"/>
      </w:pPr>
      <w:r>
        <w:rPr>
          <w:rFonts w:ascii="Arial" w:cs="Arial" w:eastAsia="Arial" w:hAnsi="Arial"/>
          <w:b/>
          <w:bCs/>
          <w:color w:val="000000"/>
          <w:sz w:val="22"/>
          <w:szCs w:val="22"/>
        </w:rPr>
        <w:t xml:space="preserve">Practical fill formula: </w:t>
      </w:r>
      <w:r>
        <w:rPr>
          <w:rFonts w:ascii="Courier New" w:cs="Courier New" w:eastAsia="Courier New" w:hAnsi="Courier New"/>
          <w:color w:val="1D4ED8"/>
          <w:sz w:val="20"/>
          <w:szCs w:val="20"/>
        </w:rPr>
        <w:t xml:space="preserve">practical_fill = gross_capacity × occ_target</w:t>
      </w:r>
    </w:p>
    <w:p>
      <w:pPr>
        <w:spacing w:after="140" w:before="0"/>
      </w:pPr>
      <w:r>
        <w:rPr>
          <w:rFonts w:ascii="Arial" w:cs="Arial" w:eastAsia="Arial" w:hAnsi="Arial"/>
          <w:sz w:val="22"/>
          <w:szCs w:val="22"/>
        </w:rPr>
        <w:t xml:space="preserve">The practical fill tells the storekeeper: "this is the maximum stock level at target occupancy". Never plan to fill equipment to 100% — space must be kept for receipts, rearrangement, and access.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900"/>
        <w:gridCol w:w="5926"/>
      </w:tblGrid>
      <w:tr>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Parameter</w:t>
            </w:r>
          </w:p>
        </w:tc>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Default</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Range</w:t>
            </w:r>
          </w:p>
        </w:tc>
        <w:tc>
          <w:tcPr>
            <w:tcW w:type="dxa" w:w="59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Physical reason for the limit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occ_pal
(Pallet racks)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80%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70–85%</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Margin needed for emergency receipts, pallets being re-conditioned, and safe access to picking positions. 80% is the FEM 9.831 industry standard rule.</w:t>
            </w:r>
          </w:p>
        </w:tc>
      </w:tr>
      <w:tr>
        <w:tc>
          <w:tcPr>
            <w:tcW w:type="dxa" w:w="14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occ_she
(Shelving)</w:t>
            </w:r>
          </w:p>
        </w:tc>
        <w:tc>
          <w:tcPr>
            <w:tcW w:type="dxa" w:w="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80%</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70–85%</w:t>
            </w:r>
          </w:p>
        </w:tc>
        <w:tc>
          <w:tcPr>
            <w:tcW w:type="dxa" w:w="59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Above 85%, stockers cannot easily find free slots during put-away. Crowded shelves slow picking and increase picking errors.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occ_can
(Cantilever)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75%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65–80%</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Long items require more maneuvering clearance for re-arrangement. Extra headroom prevents items from blocking access lanes.</w:t>
            </w:r>
          </w:p>
        </w:tc>
      </w:tr>
      <w:tr>
        <w:tc>
          <w:tcPr>
            <w:tcW w:type="dxa" w:w="14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occ_flo
(Floor storage)</w:t>
            </w:r>
          </w:p>
        </w:tc>
        <w:tc>
          <w:tcPr>
            <w:tcW w:type="dxa" w:w="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75%</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65–80%</w:t>
            </w:r>
          </w:p>
        </w:tc>
        <w:tc>
          <w:tcPr>
            <w:tcW w:type="dxa" w:w="59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Heavy and bulky parts need permanently clear lanes for forklift and crane access. A full floor zone is unsafe.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occ_ded
(Dedicated area)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100%</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The dedicated zone is sized exactly to its need. It does not serve as a buffer — leave at 100%.</w:t>
            </w:r>
          </w:p>
        </w:tc>
      </w:tr>
    </w:tbl>
    <w:p>
      <w:pPr>
        <w:spacing w:after="80" w:before="0"/>
      </w:pPr>
    </w:p>
    <w:p>
      <w:pPr>
        <w:pStyle w:val="Heading2"/>
        <w:spacing w:after="120" w:before="280"/>
      </w:pPr>
      <w:r>
        <w:rPr>
          <w:rFonts w:ascii="Arial" w:cs="Arial" w:eastAsia="Arial" w:hAnsi="Arial"/>
          <w:b/>
          <w:bCs/>
          <w:color w:val="1D4ED8"/>
          <w:sz w:val="26"/>
          <w:szCs w:val="26"/>
        </w:rPr>
        <w:t xml:space="preserve">3.3  Layout Efficiency Factors (eff)</w:t>
      </w:r>
    </w:p>
    <w:p>
      <w:pPr>
        <w:pStyle w:val="Heading3"/>
        <w:spacing w:after="80" w:before="200"/>
      </w:pPr>
      <w:r>
        <w:rPr>
          <w:rFonts w:ascii="Arial" w:cs="Arial" w:eastAsia="Arial" w:hAnsi="Arial"/>
          <w:b/>
          <w:bCs/>
          <w:color w:val="374151"/>
          <w:sz w:val="22"/>
          <w:szCs w:val="22"/>
        </w:rPr>
        <w:t xml:space="preserve">Definition and role</w:t>
      </w:r>
    </w:p>
    <w:p>
      <w:pPr>
        <w:spacing w:after="140" w:before="0"/>
      </w:pPr>
      <w:r>
        <w:rPr>
          <w:rFonts w:ascii="Arial" w:cs="Arial" w:eastAsia="Arial" w:hAnsi="Arial"/>
          <w:sz w:val="22"/>
          <w:szCs w:val="22"/>
        </w:rPr>
        <w:t xml:space="preserve">The efficiency factor is the most important and least intuitive parameter in the model. It answers the question:</w:t>
      </w:r>
    </w:p>
    <w:p>
      <w:pPr>
        <w:spacing w:after="140" w:before="0"/>
      </w:pPr>
      <w:r>
        <w:rPr>
          <w:rFonts w:ascii="Arial" w:cs="Arial" w:eastAsia="Arial" w:hAnsi="Arial"/>
          <w:i/>
          <w:iCs/>
          <w:color w:val="64748B"/>
          <w:sz w:val="22"/>
          <w:szCs w:val="22"/>
        </w:rPr>
        <w:t xml:space="preserve">"Of the raw zone area allocated to a storage family, what fraction actually becomes rack or equipment footprint?"</w:t>
      </w:r>
    </w:p>
    <w:p>
      <w:pPr>
        <w:spacing w:after="140" w:before="0"/>
      </w:pPr>
      <w:r>
        <w:rPr>
          <w:rFonts w:ascii="Arial" w:cs="Arial" w:eastAsia="Arial" w:hAnsi="Arial"/>
          <w:sz w:val="22"/>
          <w:szCs w:val="22"/>
        </w:rPr>
        <w:t xml:space="preserve">The complementary fraction (1 − eff) is consumed by aisles, manoeuvring space, safety clearances, and geometric losses.</w:t>
      </w:r>
    </w:p>
    <w:p>
      <w:pPr>
        <w:spacing w:after="80" w:before="0"/>
      </w:pPr>
    </w:p>
    <w:tbl>
      <w:tblPr>
        <w:tblW w:type="dxa" w:w="9026"/>
        <w:tblBorders>
          <w:top w:val="single" w:color="1D4ED8" w:sz="4"/>
          <w:left w:val="single" w:color="1D4ED8" w:sz="16"/>
          <w:bottom w:val="single" w:color="1D4ED8" w:sz="4"/>
          <w:right w:val="single" w:color="1D4ED8" w:sz="4"/>
          <w:insideH w:val="single" w:color="auto" w:sz="4"/>
          <w:insideV w:val="single" w:color="auto" w:sz="4"/>
        </w:tblBorders>
      </w:tblPr>
      <w:tblGrid>
        <w:gridCol w:w="9026"/>
      </w:tblGrid>
      <w:tr>
        <w:tc>
          <w:tcPr>
            <w:tcW w:type="dxa" w:w="9026"/>
            <w:shd w:fill="0F172A" w:val="clear"/>
            <w:tcMar>
              <w:top w:type="dxa" w:w="160"/>
              <w:left w:type="dxa" w:w="240"/>
              <w:bottom w:type="dxa" w:w="160"/>
              <w:right w:type="dxa" w:w="240"/>
            </w:tcMar>
          </w:tcPr>
          <w:p>
            <w:pPr>
              <w:spacing w:after="40" w:before="0"/>
            </w:pPr>
            <w:r>
              <w:rPr>
                <w:rFonts w:ascii="Courier New" w:cs="Courier New" w:eastAsia="Courier New" w:hAnsi="Courier New"/>
                <w:b/>
                <w:bCs/>
                <w:color w:val="86EFAC"/>
                <w:sz w:val="18"/>
                <w:szCs w:val="18"/>
              </w:rPr>
              <w:t xml:space="preserve">S_fp_i  =  S_raw_i  ×  eff_i</w:t>
            </w:r>
          </w:p>
          <w:p>
            <w:pPr>
              <w:spacing w:after="40" w:before="0"/>
            </w:pPr>
            <w:r>
              <w:rPr>
                <w:rFonts w:ascii="Courier New" w:cs="Courier New" w:eastAsia="Courier New" w:hAnsi="Courier New"/>
                <w:b w:val="false"/>
                <w:bCs w:val="false"/>
                <w:color w:val="E2E8F0"/>
                <w:sz w:val="18"/>
                <w:szCs w:val="18"/>
              </w:rPr>
              <w:t xml:space="preserve"/>
            </w:r>
          </w:p>
          <w:p>
            <w:pPr>
              <w:spacing w:after="40" w:before="0"/>
            </w:pPr>
            <w:r>
              <w:rPr>
                <w:rFonts w:ascii="Courier New" w:cs="Courier New" w:eastAsia="Courier New" w:hAnsi="Courier New"/>
                <w:b w:val="false"/>
                <w:bCs w:val="false"/>
                <w:color w:val="94A3B8"/>
                <w:sz w:val="18"/>
                <w:szCs w:val="18"/>
              </w:rPr>
              <w:t xml:space="preserve">Where:</w:t>
            </w:r>
          </w:p>
          <w:p>
            <w:pPr>
              <w:spacing w:after="40" w:before="0"/>
            </w:pPr>
            <w:r>
              <w:rPr>
                <w:rFonts w:ascii="Courier New" w:cs="Courier New" w:eastAsia="Courier New" w:hAnsi="Courier New"/>
                <w:b w:val="false"/>
                <w:bCs w:val="false"/>
                <w:color w:val="E2E8F0"/>
                <w:sz w:val="18"/>
                <w:szCs w:val="18"/>
              </w:rPr>
              <w:t xml:space="preserve">  S_raw_i  =  raw zone area for family i   (m²)</w:t>
            </w:r>
          </w:p>
          <w:p>
            <w:pPr>
              <w:spacing w:after="40" w:before="0"/>
            </w:pPr>
            <w:r>
              <w:rPr>
                <w:rFonts w:ascii="Courier New" w:cs="Courier New" w:eastAsia="Courier New" w:hAnsi="Courier New"/>
                <w:b w:val="false"/>
                <w:bCs w:val="false"/>
                <w:color w:val="FCD34D"/>
                <w:sz w:val="18"/>
                <w:szCs w:val="18"/>
              </w:rPr>
              <w:t xml:space="preserve">  eff_i    =  efficiency factor (0 to 1)</w:t>
            </w:r>
          </w:p>
          <w:p>
            <w:pPr>
              <w:spacing w:after="40" w:before="0"/>
            </w:pPr>
            <w:r>
              <w:rPr>
                <w:rFonts w:ascii="Courier New" w:cs="Courier New" w:eastAsia="Courier New" w:hAnsi="Courier New"/>
                <w:b w:val="false"/>
                <w:bCs w:val="false"/>
                <w:color w:val="86EFAC"/>
                <w:sz w:val="18"/>
                <w:szCs w:val="18"/>
              </w:rPr>
              <w:t xml:space="preserve">  S_fp_i   =  actual rack / equipment footprint  (m²)</w:t>
            </w:r>
          </w:p>
          <w:p>
            <w:pPr>
              <w:spacing w:after="40" w:before="0"/>
            </w:pPr>
            <w:r>
              <w:rPr>
                <w:rFonts w:ascii="Courier New" w:cs="Courier New" w:eastAsia="Courier New" w:hAnsi="Courier New"/>
                <w:b w:val="false"/>
                <w:bCs w:val="false"/>
                <w:color w:val="E2E8F0"/>
                <w:sz w:val="18"/>
                <w:szCs w:val="18"/>
              </w:rPr>
              <w:t xml:space="preserve"/>
            </w:r>
          </w:p>
          <w:p>
            <w:pPr>
              <w:spacing w:after="40" w:before="0"/>
            </w:pPr>
            <w:r>
              <w:rPr>
                <w:rFonts w:ascii="Courier New" w:cs="Courier New" w:eastAsia="Courier New" w:hAnsi="Courier New"/>
                <w:b w:val="false"/>
                <w:bCs w:val="false"/>
                <w:color w:val="FCA5A5"/>
                <w:sz w:val="18"/>
                <w:szCs w:val="18"/>
              </w:rPr>
              <w:t xml:space="preserve">And therefore:  S_aisles_i  =  S_raw_i × (1 − eff_i)</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pPr>
              <w:spacing w:after="0" w:before="0"/>
            </w:pPr>
            <w:r>
              <w:rPr>
                <w:rFonts w:ascii="Arial" w:cs="Arial" w:eastAsia="Arial" w:hAnsi="Arial"/>
                <w:b/>
                <w:bCs/>
                <w:color w:val="1D4ED8"/>
                <w:sz w:val="22"/>
                <w:szCs w:val="22"/>
              </w:rPr>
              <w:t xml:space="preserve">📐  Efficiency factor worked example — Pallet rack zone</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Given:</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S_raw_pallet  =  702 × 0.30  =  210.6 m²</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eff_pal       =  0.45</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Calculation:</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S_fp_pallet   =  210.6 × 0.45  =  94.8 m²   ← rack footprint</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S_aisles      =  210.6 × 0.55  =  115.8 m²  ← aisles + manoeuvre</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Reading:</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Of the 210.6 m² allocated to pallets, 45% (94.8 m²) is</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actual rack footprint. The remaining 55% (115.8 m²) is</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the forklift aisles and maneuvering space — necessary for</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safe and efficient operation. It is not wasted space.</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900"/>
        <w:gridCol w:w="5926"/>
      </w:tblGrid>
      <w:tr>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Parameter</w:t>
            </w:r>
          </w:p>
        </w:tc>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Default</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Range</w:t>
            </w:r>
          </w:p>
        </w:tc>
        <w:tc>
          <w:tcPr>
            <w:tcW w:type="dxa" w:w="59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Physical explanation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eff_pal
(Pallet racks)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0.45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0.35–0.55</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Pallet rack zones need wide aisles for reach trucks or counterbalance forklifts (typically 2.8–3.5 m). The ratio of rack face to aisle width is unfavourable. In a well-optimised logistics centre: 0.50–0.55. In a workshop with many columns and obstacles: 0.35–0.40.</w:t>
            </w:r>
          </w:p>
        </w:tc>
      </w:tr>
      <w:tr>
        <w:tc>
          <w:tcPr>
            <w:tcW w:type="dxa" w:w="14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eff_she
(Shelving)</w:t>
            </w:r>
          </w:p>
        </w:tc>
        <w:tc>
          <w:tcPr>
            <w:tcW w:type="dxa" w:w="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0.50</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0.40–0.60</w:t>
            </w:r>
          </w:p>
        </w:tc>
        <w:tc>
          <w:tcPr>
            <w:tcW w:type="dxa" w:w="59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Shelving aisles are narrower (0.8–1.0 m for pedestrian picking). Double-face shelving (shelves on both sides of an aisle) achieves 0.50. Single-face against a wall: lower. Wide picking lanes for trolleys: lower.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eff_can
(Cantilever)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0.35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0.30–0.45</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Cantilever racks hold long items. Aisles must be wide enough for overhead crane hook travel or side-arm trucks (≥ 4 m). Item length also forces wider spacing between rows. Hence the lowest efficiency of all types.</w:t>
            </w:r>
          </w:p>
        </w:tc>
      </w:tr>
      <w:tr>
        <w:tc>
          <w:tcPr>
            <w:tcW w:type="dxa" w:w="14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eff_flo
(Floor storage)</w:t>
            </w:r>
          </w:p>
        </w:tc>
        <w:tc>
          <w:tcPr>
            <w:tcW w:type="dxa" w:w="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0.65</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0.55–0.70</w:t>
            </w:r>
          </w:p>
        </w:tc>
        <w:tc>
          <w:tcPr>
            <w:tcW w:type="dxa" w:w="59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Floor places are demarcated by painted lines. Circulation is in the lanes between rows. High efficiency because there is no elevated structure, and items can be placed close together. Reduce to 0.55 if omnidirectional crane handling is needed.</w:t>
            </w:r>
          </w:p>
        </w:tc>
      </w:tr>
    </w:tbl>
    <w:p>
      <w:pPr>
        <w:spacing w:after="80" w:before="0"/>
      </w:pPr>
    </w:p>
    <w:tbl>
      <w:tblPr>
        <w:tblW w:type="dxa" w:w="9026"/>
        <w:tblBorders>
          <w:top w:val="none"/>
          <w:left w:val="single" w:color="B45309" w:sz="16"/>
          <w:bottom w:val="none"/>
          <w:right w:val="none"/>
          <w:insideH w:val="single" w:color="auto" w:sz="4"/>
          <w:insideV w:val="single" w:color="auto" w:sz="4"/>
        </w:tblBorders>
      </w:tblPr>
      <w:tblGrid>
        <w:gridCol w:w="9026"/>
      </w:tblGrid>
      <w:tr>
        <w:tc>
          <w:tcPr>
            <w:tcW w:type="dxa" w:w="9026"/>
            <w:shd w:fill="FEF3C7" w:val="clear"/>
            <w:tcMar>
              <w:top w:type="dxa" w:w="100"/>
              <w:left w:type="dxa" w:w="200"/>
              <w:bottom w:type="dxa" w:w="100"/>
              <w:right w:type="dxa" w:w="160"/>
            </w:tcMar>
          </w:tcPr>
          <w:p>
            <w:pPr>
              <w:spacing w:after="0" w:before="0"/>
            </w:pPr>
            <w:r>
              <w:rPr>
                <w:rFonts w:ascii="Arial" w:cs="Arial" w:eastAsia="Arial" w:hAnsi="Arial"/>
                <w:i/>
                <w:iCs/>
                <w:color w:val="B45309"/>
                <w:sz w:val="20"/>
                <w:szCs w:val="20"/>
              </w:rPr>
              <w:t xml:space="preserve">These efficiency values are pre-sizing assumptions. They must be validated against a real 2D layout (AutoCAD) once the rack supplier has confirmed bay dimensions and the forklift type has been selected. Small changes in aisle width can shift eff by ±0.05.</w:t>
            </w:r>
          </w:p>
        </w:tc>
      </w:tr>
    </w:tbl>
    <w:p>
      <w:pPr>
        <w:spacing w:after="80" w:before="0"/>
      </w:pPr>
    </w:p>
    <w:p>
      <w:pPr>
        <w:pStyle w:val="Heading2"/>
        <w:spacing w:after="120" w:before="280"/>
      </w:pPr>
      <w:r>
        <w:rPr>
          <w:rFonts w:ascii="Arial" w:cs="Arial" w:eastAsia="Arial" w:hAnsi="Arial"/>
          <w:b/>
          <w:bCs/>
          <w:color w:val="1D4ED8"/>
          <w:sz w:val="26"/>
          <w:szCs w:val="26"/>
        </w:rPr>
        <w:t xml:space="preserve">3.4  Pallet Rack Geometry</w:t>
      </w:r>
    </w:p>
    <w:p>
      <w:pPr>
        <w:spacing w:after="140" w:before="0"/>
      </w:pPr>
      <w:r>
        <w:rPr>
          <w:rFonts w:ascii="Arial" w:cs="Arial" w:eastAsia="Arial" w:hAnsi="Arial"/>
          <w:sz w:val="22"/>
          <w:szCs w:val="22"/>
        </w:rPr>
        <w:t xml:space="preserve">This section defines the physical dimensions of a standard single-entry selective pallet rack bay. These values drive the automatic calculation of bay width (bay_W), bay depth (bay_D), position footprint (a_pos), and number of levels (N_lev).</w:t>
      </w:r>
    </w:p>
    <w:p>
      <w:pPr>
        <w:spacing w:after="80" w:before="0"/>
      </w:pPr>
    </w:p>
    <w:p>
      <w:pPr>
        <w:pStyle w:val="Heading3"/>
        <w:spacing w:after="80" w:before="200"/>
      </w:pPr>
      <w:r>
        <w:rPr>
          <w:rFonts w:ascii="Arial" w:cs="Arial" w:eastAsia="Arial" w:hAnsi="Arial"/>
          <w:b/>
          <w:bCs/>
          <w:color w:val="374151"/>
          <w:sz w:val="22"/>
          <w:szCs w:val="22"/>
        </w:rPr>
        <w:t xml:space="preserve">Pallet dimensions: pal_w and pal_d</w:t>
      </w:r>
    </w:p>
    <w:p>
      <w:pPr>
        <w:spacing w:after="140" w:before="0"/>
      </w:pPr>
      <w:r>
        <w:rPr>
          <w:rFonts w:ascii="Arial" w:cs="Arial" w:eastAsia="Arial" w:hAnsi="Arial"/>
          <w:b/>
          <w:bCs/>
          <w:color w:val="000000"/>
          <w:sz w:val="22"/>
          <w:szCs w:val="22"/>
        </w:rPr>
        <w:t xml:space="preserve">pal_w </w:t>
      </w:r>
      <w:r>
        <w:rPr>
          <w:rFonts w:ascii="Arial" w:cs="Arial" w:eastAsia="Arial" w:hAnsi="Arial"/>
          <w:sz w:val="22"/>
          <w:szCs w:val="22"/>
        </w:rPr>
        <w:t xml:space="preserve">is the pallet width measured in the direction along the beam (parallel to the rack face). For a standard EUR pallet (1 200 × 800 mm) stored with its 1 200 mm side facing the aisle, pal_w = 1.20 m.</w:t>
      </w:r>
    </w:p>
    <w:p>
      <w:pPr>
        <w:spacing w:after="140" w:before="0"/>
      </w:pPr>
      <w:r>
        <w:rPr>
          <w:rFonts w:ascii="Arial" w:cs="Arial" w:eastAsia="Arial" w:hAnsi="Arial"/>
          <w:b/>
          <w:bCs/>
          <w:color w:val="000000"/>
          <w:sz w:val="22"/>
          <w:szCs w:val="22"/>
        </w:rPr>
        <w:t xml:space="preserve">pal_d </w:t>
      </w:r>
      <w:r>
        <w:rPr>
          <w:rFonts w:ascii="Arial" w:cs="Arial" w:eastAsia="Arial" w:hAnsi="Arial"/>
          <w:sz w:val="22"/>
          <w:szCs w:val="22"/>
        </w:rPr>
        <w:t xml:space="preserve">is the pallet depth measured in the direction into the rack (perpendicular to the aisle). For the same EUR pallet, pal_d = 0.80 m.</w:t>
      </w:r>
    </w:p>
    <w:p>
      <w:pPr>
        <w:spacing w:after="140" w:before="0"/>
      </w:pPr>
      <w:r>
        <w:rPr>
          <w:rFonts w:ascii="Arial" w:cs="Arial" w:eastAsia="Arial" w:hAnsi="Arial"/>
          <w:b/>
          <w:bCs/>
          <w:color w:val="000000"/>
          <w:sz w:val="22"/>
          <w:szCs w:val="22"/>
        </w:rPr>
        <w:t xml:space="preserve">Important: </w:t>
      </w:r>
      <w:r>
        <w:rPr>
          <w:rFonts w:ascii="Arial" w:cs="Arial" w:eastAsia="Arial" w:hAnsi="Arial"/>
          <w:sz w:val="22"/>
          <w:szCs w:val="22"/>
        </w:rPr>
        <w:t xml:space="preserve">if the pallet is rotated 90° (1 200 mm going into the rack), then pal_w = 0.80 m and pal_d = 1.20 m. Always check the actual loading orientation used in the depot.</w:t>
      </w:r>
    </w:p>
    <w:p>
      <w:pPr>
        <w:spacing w:after="80" w:before="0"/>
      </w:pPr>
    </w:p>
    <w:p>
      <w:pPr>
        <w:pStyle w:val="Heading3"/>
        <w:spacing w:after="80" w:before="200"/>
      </w:pPr>
      <w:r>
        <w:rPr>
          <w:rFonts w:ascii="Arial" w:cs="Arial" w:eastAsia="Arial" w:hAnsi="Arial"/>
          <w:b/>
          <w:bCs/>
          <w:color w:val="374151"/>
          <w:sz w:val="22"/>
          <w:szCs w:val="22"/>
        </w:rPr>
        <w:t xml:space="preserve">pal_h — Average loaded pallet height</w:t>
      </w:r>
    </w:p>
    <w:p>
      <w:pPr>
        <w:spacing w:after="140" w:before="0"/>
      </w:pPr>
      <w:r>
        <w:rPr>
          <w:rFonts w:ascii="Arial" w:cs="Arial" w:eastAsia="Arial" w:hAnsi="Arial"/>
          <w:sz w:val="22"/>
          <w:szCs w:val="22"/>
        </w:rPr>
        <w:t xml:space="preserve">This is the total height of a loaded pallet, measured from the floor to the top of the load. It includes the pallet itself (~144 mm) plus the load on top.</w:t>
      </w:r>
    </w:p>
    <w:p>
      <w:pPr>
        <w:spacing w:after="140" w:before="0"/>
      </w:pPr>
      <w:r>
        <w:rPr>
          <w:rFonts w:ascii="Arial" w:cs="Arial" w:eastAsia="Arial" w:hAnsi="Arial"/>
          <w:b/>
          <w:bCs/>
          <w:color w:val="000000"/>
          <w:sz w:val="22"/>
          <w:szCs w:val="22"/>
        </w:rPr>
        <w:t xml:space="preserve">Key point: </w:t>
      </w:r>
      <w:r>
        <w:rPr>
          <w:rFonts w:ascii="Arial" w:cs="Arial" w:eastAsia="Arial" w:hAnsi="Arial"/>
          <w:sz w:val="22"/>
          <w:szCs w:val="22"/>
        </w:rPr>
        <w:t xml:space="preserve">use the average height of the tallest pallet category, not the shortest. If some pallets reach 1.50 m, use 1.50 m to avoid undersizing vertical clearances. Undersizing h_pal results in insufficient beam-to-beam space and potential safety violations.</w:t>
      </w:r>
    </w:p>
    <w:p>
      <w:pPr>
        <w:spacing w:after="80" w:before="0"/>
      </w:pPr>
    </w:p>
    <w:p>
      <w:pPr>
        <w:pStyle w:val="Heading3"/>
        <w:spacing w:after="80" w:before="200"/>
      </w:pPr>
      <w:r>
        <w:rPr>
          <w:rFonts w:ascii="Arial" w:cs="Arial" w:eastAsia="Arial" w:hAnsi="Arial"/>
          <w:b/>
          <w:bCs/>
          <w:color w:val="374151"/>
          <w:sz w:val="22"/>
          <w:szCs w:val="22"/>
        </w:rPr>
        <w:t xml:space="preserve">Clearances — the safety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900"/>
        <w:gridCol w:w="900"/>
        <w:gridCol w:w="4626"/>
      </w:tblGrid>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Symbol</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Name</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Default</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Standard</w:t>
            </w:r>
          </w:p>
        </w:tc>
        <w:tc>
          <w:tcPr>
            <w:tcW w:type="dxa" w:w="46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Physical meaning and how to set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clr_s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Side clearance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75 mm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 15620
Class 300</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Gap between the edge of the pallet and the inner face of the upright. 75 mm is the minimum for class 300 trucks (reach trucks). Increase to 100 mm for lower-precision trucks or narrow aisles.</w:t>
            </w:r>
          </w:p>
        </w:tc>
      </w:tr>
      <w:tr>
        <w:tc>
          <w:tcPr>
            <w:tcW w:type="dxa" w:w="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clr_b</w:t>
            </w:r>
          </w:p>
        </w:tc>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Between-pallet clearance</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100 mm</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 15620</w:t>
            </w:r>
          </w:p>
        </w:tc>
        <w:tc>
          <w:tcPr>
            <w:tcW w:type="dxa" w:w="46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Gap between the two pallets sharing a bay. This is the central gap. 100 mm minimum per EN 15620. Do not reduce below 75 mm even in constrained layouts.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clr_d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Depth tolerance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100 mm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Added to pal_d to account for pallet overhang at the rear, the rack back structure, and positioning tolerances. 100 mm is conservative. Can reduce to 75 mm on new, well-calibrated racks with GPS-guided trucks.</w:t>
            </w:r>
          </w:p>
        </w:tc>
      </w:tr>
      <w:tr>
        <w:tc>
          <w:tcPr>
            <w:tcW w:type="dxa" w:w="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clr_v</w:t>
            </w:r>
          </w:p>
        </w:tc>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Vertical clearance per level</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200 mm</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 15620</w:t>
            </w:r>
          </w:p>
        </w:tc>
        <w:tc>
          <w:tcPr>
            <w:tcW w:type="dxa" w:w="46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Free space between the top of the highest load on a level and the underside of the beam above. 200 mm for standard trucks. Increase to 250 mm for unstable loads or protruding packaging.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clr_bt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Bottom clearance (floor to 1st beam)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150 mm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 15512</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Height of the first beam centre above the finished floor. 150 mm prevents fork contact with rack feet. Increase to 200 mm in wet areas or where high-pressure cleaning is used.</w:t>
            </w:r>
          </w:p>
        </w:tc>
      </w:tr>
      <w:tr>
        <w:tc>
          <w:tcPr>
            <w:tcW w:type="dxa" w:w="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clr_tp</w:t>
            </w:r>
          </w:p>
        </w:tc>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Top clearance (below structure)</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300 mm</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 15620</w:t>
            </w:r>
          </w:p>
        </w:tc>
        <w:tc>
          <w:tcPr>
            <w:tcW w:type="dxa" w:w="46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Free space between the top of the last loaded level and the first building obstacle. 300 mm minimum standard. With ESFR sprinklers, check the specific fire calculation — often 500 mm or more is required.</w:t>
            </w:r>
          </w:p>
        </w:tc>
      </w:tr>
    </w:tbl>
    <w:p>
      <w:pPr>
        <w:spacing w:after="80" w:before="0"/>
      </w:pPr>
    </w:p>
    <w:p>
      <w:pPr>
        <w:pStyle w:val="Heading3"/>
        <w:spacing w:after="80" w:before="200"/>
      </w:pPr>
      <w:r>
        <w:rPr>
          <w:rFonts w:ascii="Arial" w:cs="Arial" w:eastAsia="Arial" w:hAnsi="Arial"/>
          <w:b/>
          <w:bCs/>
          <w:color w:val="374151"/>
          <w:sz w:val="22"/>
          <w:szCs w:val="22"/>
        </w:rPr>
        <w:t xml:space="preserve">pal_bay — Positions per bay per level</w:t>
      </w:r>
    </w:p>
    <w:p>
      <w:pPr>
        <w:spacing w:after="140" w:before="0"/>
      </w:pPr>
      <w:r>
        <w:rPr>
          <w:rFonts w:ascii="Arial" w:cs="Arial" w:eastAsia="Arial" w:hAnsi="Arial"/>
          <w:sz w:val="22"/>
          <w:szCs w:val="22"/>
        </w:rPr>
        <w:t xml:space="preserve">Standard selective pallet racking always has </w:t>
      </w:r>
      <w:r>
        <w:rPr>
          <w:rFonts w:ascii="Arial" w:cs="Arial" w:eastAsia="Arial" w:hAnsi="Arial"/>
          <w:b/>
          <w:bCs/>
          <w:color w:val="000000"/>
          <w:sz w:val="22"/>
          <w:szCs w:val="22"/>
        </w:rPr>
        <w:t xml:space="preserve">2 pallet positions per bay per level</w:t>
      </w:r>
      <w:r>
        <w:rPr>
          <w:rFonts w:ascii="Arial" w:cs="Arial" w:eastAsia="Arial" w:hAnsi="Arial"/>
          <w:sz w:val="22"/>
          <w:szCs w:val="22"/>
        </w:rPr>
        <w:t xml:space="preserve">. Do not change this value unless using a non-standard rack type (single-position heavy-duty rack, double-deep rack, etc.).</w:t>
      </w:r>
    </w:p>
    <w:p>
      <w:pPr>
        <w:spacing w:after="80" w:before="0"/>
      </w:pPr>
    </w:p>
    <w:p>
      <w:pPr>
        <w:pStyle w:val="Heading2"/>
        <w:spacing w:after="120" w:before="280"/>
      </w:pPr>
      <w:r>
        <w:rPr>
          <w:rFonts w:ascii="Arial" w:cs="Arial" w:eastAsia="Arial" w:hAnsi="Arial"/>
          <w:b/>
          <w:bCs/>
          <w:color w:val="1D4ED8"/>
          <w:sz w:val="26"/>
          <w:szCs w:val="26"/>
        </w:rPr>
        <w:t xml:space="preserve">3.5  Shelving Geometry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5226"/>
      </w:tblGrid>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Parameter</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Default</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Range</w:t>
            </w:r>
          </w:p>
        </w:tc>
        <w:tc>
          <w:tcPr>
            <w:tcW w:type="dxa" w:w="52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How to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she_L — Module length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1.20 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1.00–1.50 m</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Standard module pitch along the aisle. 1.20 m is the most common European standard. Verify the supplier catalogue before finalising — some supply in 1.00 m or 1.50 m modules.</w:t>
            </w:r>
          </w:p>
        </w:tc>
      </w:tr>
      <w:tr>
        <w:tc>
          <w:tcPr>
            <w:tcW w:type="dxa" w:w="2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she_D — Module depth (single face)</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0.50 m</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0.40–0.60 m</w:t>
            </w:r>
          </w:p>
        </w:tc>
        <w:tc>
          <w:tcPr>
            <w:tcW w:type="dxa" w:w="5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Depth of one shelving face. 0.50 m for comfortable manual picking of medium boxes. 0.40 m for small parts bins. 0.60 m for deeper OEM cartons. In double-face back-to-back configuration, total structure depth = 2 × she_D.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she_H — Module height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2.20 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2.00–2.40 m</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Overall module height. Maximum recommended for picking without equipment: 2.20–2.40 m. Above 2.40 m, a stepladder becomes mandatory (risk assessment required). If 2.50 m is chosen, plan sufficient stepladders and include in the safety documentation.</w:t>
            </w:r>
          </w:p>
        </w:tc>
      </w:tr>
      <w:tr>
        <w:tc>
          <w:tcPr>
            <w:tcW w:type="dxa" w:w="2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she_lv — Shelf levels</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6</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4–8</w:t>
            </w:r>
          </w:p>
        </w:tc>
        <w:tc>
          <w:tcPr>
            <w:tcW w:type="dxa" w:w="5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Number of usable shelves per module. 6 levels on a 2.20 m module gives approximately 33 cm average spacing, which is consistent with 250–300 mm tall bins. Reduce if storing large cartons (250 mm spacing may be insufficient).</w:t>
            </w:r>
          </w:p>
        </w:tc>
      </w:tr>
    </w:tbl>
    <w:p>
      <w:pPr>
        <w:spacing w:after="80" w:before="0"/>
      </w:pPr>
    </w:p>
    <w:p>
      <w:pPr>
        <w:pStyle w:val="Heading2"/>
        <w:spacing w:after="120" w:before="280"/>
      </w:pPr>
      <w:r>
        <w:rPr>
          <w:rFonts w:ascii="Arial" w:cs="Arial" w:eastAsia="Arial" w:hAnsi="Arial"/>
          <w:b/>
          <w:bCs/>
          <w:color w:val="1D4ED8"/>
          <w:sz w:val="26"/>
          <w:szCs w:val="26"/>
        </w:rPr>
        <w:t xml:space="preserve">3.6  Cantilever Geometry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5226"/>
      </w:tblGrid>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Parameter</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Default</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Range</w:t>
            </w:r>
          </w:p>
        </w:tc>
        <w:tc>
          <w:tcPr>
            <w:tcW w:type="dxa" w:w="52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How to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can_a — Arm length (one side)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0.80 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0.60–1.20 m</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Length of a single cantilever arm projecting from the column face. Must be ≥ half the length of the longest item if stored centred, or ≥ the full length if stored from one end. 0.80 m for profiles ≤ 3 m. 1.20 m for rails ≤ 6 m.</w:t>
            </w:r>
          </w:p>
        </w:tc>
      </w:tr>
      <w:tr>
        <w:tc>
          <w:tcPr>
            <w:tcW w:type="dxa" w:w="2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can_H — Column height</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3.50 m</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3.00–5.00 m</w:t>
            </w:r>
          </w:p>
        </w:tc>
        <w:tc>
          <w:tcPr>
            <w:tcW w:type="dxa" w:w="5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Overall column height. Must be coordinated with the overhead crane hook height and the building clear height. For loading by overhead crane, the hook must be able to reach the top level with clearance.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can_lv — Arm levels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3–6</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Number of rows of arms per column. Depends on item heights and whether loading is by crane (any height) or forklift with side attachment (height limited by truck capacity).</w:t>
            </w:r>
          </w:p>
        </w:tc>
      </w:tr>
      <w:tr>
        <w:tc>
          <w:tcPr>
            <w:tcW w:type="dxa" w:w="2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can_bL — Bay pitch (column centres)</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1.75 m</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1.50–2.00 m</w:t>
            </w:r>
          </w:p>
        </w:tc>
        <w:tc>
          <w:tcPr>
            <w:tcW w:type="dxa" w:w="5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Distance between successive column centres in a cantilever run. Must be ≤ the allowable span of the stored items. For steel profiles: 1.75–2.00 m. For plastic or wooden items: 1.00–1.25 m (less span stiffness).</w:t>
            </w:r>
          </w:p>
        </w:tc>
      </w:tr>
    </w:tbl>
    <w:p>
      <w:pPr>
        <w:spacing w:after="80" w:before="0"/>
      </w:pPr>
    </w:p>
    <w:p>
      <w:pPr>
        <w:pStyle w:val="Heading2"/>
        <w:spacing w:after="120" w:before="280"/>
      </w:pPr>
      <w:r>
        <w:rPr>
          <w:rFonts w:ascii="Arial" w:cs="Arial" w:eastAsia="Arial" w:hAnsi="Arial"/>
          <w:b/>
          <w:bCs/>
          <w:color w:val="1D4ED8"/>
          <w:sz w:val="26"/>
          <w:szCs w:val="26"/>
        </w:rPr>
        <w:t xml:space="preserve">3.7  Floor Storage Place Dimensions</w:t>
      </w:r>
    </w:p>
    <w:p>
      <w:pPr>
        <w:spacing w:after="140" w:before="0"/>
      </w:pPr>
      <w:r>
        <w:rPr>
          <w:rFonts w:ascii="Arial" w:cs="Arial" w:eastAsia="Arial" w:hAnsi="Arial"/>
          <w:sz w:val="22"/>
          <w:szCs w:val="22"/>
        </w:rPr>
        <w:t xml:space="preserve">Floor storage places are demarcated areas on the workshop floor (painted lines or embedded markers) where large, heavy, or non-palletisable items are stored directly on the floor.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5226"/>
      </w:tblGrid>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Parameter</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Default</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Range</w:t>
            </w:r>
          </w:p>
        </w:tc>
        <w:tc>
          <w:tcPr>
            <w:tcW w:type="dxa" w:w="52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How to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flo_W — Place width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2.00 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1.50–4.00 m</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Width of one demarcated floor place. Set to the width of the widest item expected, plus 10–15% clearance for crane or forklift placement. Metro bogie: ~2.20 m wide → flo_W = 2.50 m.</w:t>
            </w:r>
          </w:p>
        </w:tc>
      </w:tr>
      <w:tr>
        <w:tc>
          <w:tcPr>
            <w:tcW w:type="dxa" w:w="2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flo_D — Place depth</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2.00 m</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1.50–4.00 m</w:t>
            </w:r>
          </w:p>
        </w:tc>
        <w:tc>
          <w:tcPr>
            <w:tcW w:type="dxa" w:w="5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Depth of one demarcated floor place. Set to the depth of the deepest item expected, plus 10–15% clearance. Metro bogie: ~3.00 m long → flo_D = 3.50 m.</w:t>
            </w:r>
          </w:p>
        </w:tc>
      </w:tr>
    </w:tbl>
    <w:p>
      <w:pPr>
        <w:spacing w:after="80" w:before="0"/>
      </w:pPr>
    </w:p>
    <w:p>
      <w:pPr>
        <w:pStyle w:val="Heading2"/>
        <w:spacing w:after="120" w:before="280"/>
      </w:pPr>
      <w:r>
        <w:rPr>
          <w:rFonts w:ascii="Arial" w:cs="Arial" w:eastAsia="Arial" w:hAnsi="Arial"/>
          <w:b/>
          <w:bCs/>
          <w:color w:val="1D4ED8"/>
          <w:sz w:val="26"/>
          <w:szCs w:val="26"/>
        </w:rPr>
        <w:t xml:space="preserve">3.8  Growth and Contingency</w:t>
      </w:r>
    </w:p>
    <w:p>
      <w:pPr>
        <w:pStyle w:val="Heading3"/>
        <w:spacing w:after="80" w:before="200"/>
      </w:pPr>
      <w:r>
        <w:rPr>
          <w:rFonts w:ascii="Arial" w:cs="Arial" w:eastAsia="Arial" w:hAnsi="Arial"/>
          <w:b/>
          <w:bCs/>
          <w:color w:val="374151"/>
          <w:sz w:val="22"/>
          <w:szCs w:val="22"/>
        </w:rPr>
        <w:t xml:space="preserve">k_gr — Growth / contingency margin (%)</w:t>
      </w:r>
    </w:p>
    <w:p>
      <w:pPr>
        <w:spacing w:after="140" w:before="0"/>
      </w:pPr>
      <w:r>
        <w:rPr>
          <w:rFonts w:ascii="Arial" w:cs="Arial" w:eastAsia="Arial" w:hAnsi="Arial"/>
          <w:sz w:val="22"/>
          <w:szCs w:val="22"/>
        </w:rPr>
        <w:t xml:space="preserve">This factor is applied to all gross capacities to produce the recommended installed capacity. It accounts for:</w:t>
      </w:r>
    </w:p>
    <w:p>
      <w:pPr>
        <w:pStyle w:val="ListParagraph"/>
        <w:numPr>
          <w:ilvl w:val="0"/>
          <w:numId w:val="2"/>
        </w:numPr>
        <w:spacing w:after="80" w:before="0"/>
        <w:ind w:left="720" w:hanging="360"/>
      </w:pPr>
      <w:r>
        <w:rPr>
          <w:rFonts w:ascii="Arial" w:cs="Arial" w:eastAsia="Arial" w:hAnsi="Arial"/>
          <w:sz w:val="20"/>
          <w:szCs w:val="20"/>
        </w:rPr>
        <w:t xml:space="preserve">Fleet growth during the depot lifecycle.</w:t>
      </w:r>
    </w:p>
    <w:p>
      <w:pPr>
        <w:pStyle w:val="ListParagraph"/>
        <w:numPr>
          <w:ilvl w:val="0"/>
          <w:numId w:val="2"/>
        </w:numPr>
        <w:spacing w:after="80" w:before="0"/>
        <w:ind w:left="720" w:hanging="360"/>
      </w:pPr>
      <w:r>
        <w:rPr>
          <w:rFonts w:ascii="Arial" w:cs="Arial" w:eastAsia="Arial" w:hAnsi="Arial"/>
          <w:sz w:val="20"/>
          <w:szCs w:val="20"/>
        </w:rPr>
        <w:t xml:space="preserve">Uncertainty in the initial stock volume estimate.</w:t>
      </w:r>
    </w:p>
    <w:p>
      <w:pPr>
        <w:pStyle w:val="ListParagraph"/>
        <w:numPr>
          <w:ilvl w:val="0"/>
          <w:numId w:val="2"/>
        </w:numPr>
        <w:spacing w:after="80" w:before="0"/>
        <w:ind w:left="720" w:hanging="360"/>
      </w:pPr>
      <w:r>
        <w:rPr>
          <w:rFonts w:ascii="Arial" w:cs="Arial" w:eastAsia="Arial" w:hAnsi="Arial"/>
          <w:sz w:val="20"/>
          <w:szCs w:val="20"/>
        </w:rPr>
        <w:t xml:space="preserve">Seasonal stock variations and peak holding.</w:t>
      </w:r>
    </w:p>
    <w:p>
      <w:pPr>
        <w:pStyle w:val="ListParagraph"/>
        <w:numPr>
          <w:ilvl w:val="0"/>
          <w:numId w:val="2"/>
        </w:numPr>
        <w:spacing w:after="80" w:before="0"/>
        <w:ind w:left="720" w:hanging="360"/>
      </w:pPr>
      <w:r>
        <w:rPr>
          <w:rFonts w:ascii="Arial" w:cs="Arial" w:eastAsia="Arial" w:hAnsi="Arial"/>
          <w:sz w:val="20"/>
          <w:szCs w:val="20"/>
        </w:rPr>
        <w:t xml:space="preserve">Project contingency for unforeseen requirements.</w:t>
      </w:r>
    </w:p>
    <w:p>
      <w:pPr>
        <w:spacing w:after="140" w:before="0"/>
      </w:pPr>
      <w:r>
        <w:rPr>
          <w:rFonts w:ascii="Arial" w:cs="Arial" w:eastAsia="Arial" w:hAnsi="Arial"/>
          <w:b/>
          <w:bCs/>
          <w:color w:val="000000"/>
          <w:sz w:val="22"/>
          <w:szCs w:val="22"/>
        </w:rPr>
        <w:t xml:space="preserve">Formula: </w:t>
      </w:r>
      <w:r>
        <w:rPr>
          <w:rFonts w:ascii="Courier New" w:cs="Courier New" w:eastAsia="Courier New" w:hAnsi="Courier New"/>
          <w:color w:val="1D4ED8"/>
          <w:sz w:val="20"/>
          <w:szCs w:val="20"/>
        </w:rPr>
        <w:t xml:space="preserve">Rec. installed = CEILING( gross_capacity × (1 + k_gr), granularity )</w:t>
      </w:r>
    </w:p>
    <w:p>
      <w:pPr>
        <w:spacing w:after="140" w:before="0"/>
      </w:pPr>
      <w:r>
        <w:rPr>
          <w:rFonts w:ascii="Arial" w:cs="Arial" w:eastAsia="Arial" w:hAnsi="Arial"/>
          <w:b/>
          <w:bCs/>
          <w:color w:val="000000"/>
          <w:sz w:val="22"/>
          <w:szCs w:val="22"/>
        </w:rPr>
        <w:t xml:space="preserve">Default: </w:t>
      </w:r>
      <w:r>
        <w:rPr>
          <w:rFonts w:ascii="Courier New" w:cs="Courier New" w:eastAsia="Courier New" w:hAnsi="Courier New"/>
          <w:color w:val="1D4ED8"/>
          <w:sz w:val="20"/>
          <w:szCs w:val="20"/>
        </w:rPr>
        <w:t xml:space="preserve">10%</w:t>
      </w:r>
      <w:r>
        <w:rPr>
          <w:rFonts w:ascii="Arial" w:cs="Arial" w:eastAsia="Arial" w:hAnsi="Arial"/>
          <w:sz w:val="22"/>
          <w:szCs w:val="22"/>
        </w:rPr>
        <w:t xml:space="preserve">. For a stable project with a well-defined fleet. Use 15–20% if fleet extension is planned within the depot lifecycle, or if the initial stock policy is not yet defined.</w:t>
      </w:r>
    </w:p>
    <w:p>
      <w:pPr>
        <w:spacing w:after="80" w:before="0"/>
      </w:pPr>
    </w:p>
    <w:tbl>
      <w:tblPr>
        <w:tblW w:type="dxa" w:w="9026"/>
        <w:tblBorders>
          <w:top w:val="none"/>
          <w:left w:val="single" w:color="374151" w:sz="16"/>
          <w:bottom w:val="none"/>
          <w:right w:val="none"/>
          <w:insideH w:val="single" w:color="auto" w:sz="4"/>
          <w:insideV w:val="single" w:color="auto" w:sz="4"/>
        </w:tblBorders>
      </w:tblPr>
      <w:tblGrid>
        <w:gridCol w:w="9026"/>
      </w:tblGrid>
      <w:tr>
        <w:tc>
          <w:tcPr>
            <w:tcW w:type="dxa" w:w="9026"/>
            <w:shd w:fill="F1F5F9" w:val="clear"/>
            <w:tcMar>
              <w:top w:type="dxa" w:w="100"/>
              <w:left w:type="dxa" w:w="200"/>
              <w:bottom w:type="dxa" w:w="100"/>
              <w:right w:type="dxa" w:w="160"/>
            </w:tcMar>
          </w:tcPr>
          <w:p>
            <w:pPr>
              <w:spacing w:after="0" w:before="0"/>
            </w:pPr>
            <w:r>
              <w:rPr>
                <w:rFonts w:ascii="Arial" w:cs="Arial" w:eastAsia="Arial" w:hAnsi="Arial"/>
                <w:i/>
                <w:iCs/>
                <w:color w:val="374151"/>
                <w:sz w:val="20"/>
                <w:szCs w:val="20"/>
              </w:rPr>
              <w:t xml:space="preserve">k_gr is a pre-sizing contingency, not an ongoing safety stock. Do not confuse it with the occupancy rate (occ). The occupancy rate controls the planned fill level of installed capacity. k_gr controls how much extra capacity is installed above the calculated need.</w:t>
            </w:r>
          </w:p>
        </w:tc>
      </w:tr>
    </w:tbl>
    <w:p>
      <w:pPr>
        <w:spacing w:after="0" w:before="0"/>
      </w:pPr>
      <w:r>
        <w:br w:type="page"/>
      </w:r>
    </w:p>
    <w:p>
      <w:pPr>
        <w:pStyle w:val="Heading1"/>
        <w:pBdr>
          <w:bottom w:val="single" w:color="1D4ED8" w:sz="8" w:space="4"/>
        </w:pBdr>
        <w:spacing w:after="200" w:before="360"/>
      </w:pPr>
      <w:r>
        <w:rPr>
          <w:rFonts w:ascii="Arial" w:cs="Arial" w:eastAsia="Arial" w:hAnsi="Arial"/>
          <w:b/>
          <w:bCs/>
          <w:color w:val="1F3864"/>
          <w:sz w:val="32"/>
          <w:szCs w:val="32"/>
        </w:rPr>
        <w:t xml:space="preserve">Chapter 4 — Calculation Chain</w:t>
      </w:r>
    </w:p>
    <w:p>
      <w:pPr>
        <w:spacing w:after="140" w:before="0"/>
      </w:pPr>
      <w:r>
        <w:rPr>
          <w:rFonts w:ascii="Arial" w:cs="Arial" w:eastAsia="Arial" w:hAnsi="Arial"/>
          <w:sz w:val="22"/>
          <w:szCs w:val="22"/>
        </w:rPr>
        <w:t xml:space="preserve">This chapter explains every formula in the tool, step by step, with the physical meaning and a worked example. The calculation chain has six main steps.</w:t>
      </w:r>
    </w:p>
    <w:p>
      <w:pPr>
        <w:spacing w:after="80" w:before="0"/>
      </w:pPr>
    </w:p>
    <w:tbl>
      <w:tblPr>
        <w:tblW w:type="dxa" w:w="9026"/>
        <w:tblBorders>
          <w:top w:val="none"/>
          <w:left w:val="single" w:color="1D4ED8" w:sz="12"/>
          <w:bottom w:val="none"/>
          <w:right w:val="none"/>
          <w:insideH w:val="single" w:color="auto" w:sz="4"/>
          <w:insideV w:val="single" w:color="auto" w:sz="4"/>
        </w:tblBorders>
      </w:tblPr>
      <w:tblGrid>
        <w:gridCol w:w="9026"/>
      </w:tblGrid>
      <w:tr>
        <w:tc>
          <w:tcPr>
            <w:tcW w:type="dxa" w:w="9026"/>
            <w:tcBorders>
              <w:top w:val="none"/>
              <w:left w:val="none"/>
              <w:bottom w:val="none"/>
              <w:right w:val="none"/>
            </w:tcBorders>
            <w:shd w:fill="DBEAFE" w:val="clear"/>
            <w:tcMar>
              <w:top w:type="dxa" w:w="120"/>
              <w:left w:type="dxa" w:w="200"/>
              <w:bottom w:type="dxa" w:w="120"/>
              <w:right w:type="dxa" w:w="200"/>
            </w:tcMar>
          </w:tcPr>
          <w:p>
            <w:pPr>
              <w:spacing w:after="80" w:before="0"/>
            </w:pPr>
            <w:r>
              <w:rPr>
                <w:rFonts w:ascii="Arial" w:cs="Arial" w:eastAsia="Arial" w:hAnsi="Arial"/>
                <w:b/>
                <w:bCs/>
                <w:color w:val="1D4ED8"/>
                <w:sz w:val="22"/>
                <w:szCs w:val="22"/>
              </w:rPr>
              <w:t xml:space="preserve">Overview of the chain:</w:t>
            </w:r>
          </w:p>
          <w:p>
            <w:pPr>
              <w:spacing w:after="0" w:before="0"/>
            </w:pPr>
            <w:r>
              <w:rPr>
                <w:rFonts w:ascii="Courier New" w:cs="Courier New" w:eastAsia="Courier New" w:hAnsi="Courier New"/>
                <w:color w:val="1F3864"/>
                <w:sz w:val="20"/>
                <w:szCs w:val="20"/>
              </w:rPr>
              <w:t xml:space="preserve">Step 1 → S_net  →  Step 2 → S_raw_i  →  Step 3 → S_fp_i  →  Step 4 → Rack geometry  →  Step 5 → Gross capacity  →  Step 6 → Installed capacity</w:t>
            </w:r>
          </w:p>
        </w:tc>
      </w:tr>
    </w:tbl>
    <w:p>
      <w:pPr>
        <w:spacing w:after="80" w:before="0"/>
      </w:pPr>
    </w:p>
    <w:p>
      <w:pPr>
        <w:pStyle w:val="Heading2"/>
        <w:spacing w:after="120" w:before="280"/>
      </w:pPr>
      <w:r>
        <w:rPr>
          <w:rFonts w:ascii="Arial" w:cs="Arial" w:eastAsia="Arial" w:hAnsi="Arial"/>
          <w:b/>
          <w:bCs/>
          <w:color w:val="1D4ED8"/>
          <w:sz w:val="26"/>
          <w:szCs w:val="26"/>
        </w:rPr>
        <w:t xml:space="preserve">4.1  Step 1 — Net Storage Area (S_net)</w:t>
      </w:r>
    </w:p>
    <w:p>
      <w:pPr>
        <w:spacing w:after="140" w:before="0"/>
      </w:pPr>
      <w:r>
        <w:rPr>
          <w:rFonts w:ascii="Arial" w:cs="Arial" w:eastAsia="Arial" w:hAnsi="Arial"/>
          <w:sz w:val="22"/>
          <w:szCs w:val="22"/>
        </w:rPr>
        <w:t xml:space="preserve">This is the foundation of the entire calculation. S_net is the surface area of the store that is actually available for storage racks and equipment, after deducting the non-storage support areas.</w:t>
      </w:r>
    </w:p>
    <w:p>
      <w:pPr>
        <w:spacing w:after="80" w:before="0"/>
      </w:pPr>
    </w:p>
    <w:tbl>
      <w:tblPr>
        <w:tblW w:type="dxa" w:w="9026"/>
        <w:tblBorders>
          <w:top w:val="single" w:color="1D4ED8" w:sz="4"/>
          <w:left w:val="single" w:color="1D4ED8" w:sz="16"/>
          <w:bottom w:val="single" w:color="1D4ED8" w:sz="4"/>
          <w:right w:val="single" w:color="1D4ED8" w:sz="4"/>
          <w:insideH w:val="single" w:color="auto" w:sz="4"/>
          <w:insideV w:val="single" w:color="auto" w:sz="4"/>
        </w:tblBorders>
      </w:tblPr>
      <w:tblGrid>
        <w:gridCol w:w="9026"/>
      </w:tblGrid>
      <w:tr>
        <w:tc>
          <w:tcPr>
            <w:tcW w:type="dxa" w:w="9026"/>
            <w:shd w:fill="0F172A" w:val="clear"/>
            <w:tcMar>
              <w:top w:type="dxa" w:w="160"/>
              <w:left w:type="dxa" w:w="240"/>
              <w:bottom w:type="dxa" w:w="160"/>
              <w:right w:type="dxa" w:w="240"/>
            </w:tcMar>
          </w:tcPr>
          <w:p>
            <w:pPr>
              <w:spacing w:after="40" w:before="0"/>
            </w:pPr>
            <w:r>
              <w:rPr>
                <w:rFonts w:ascii="Courier New" w:cs="Courier New" w:eastAsia="Courier New" w:hAnsi="Courier New"/>
                <w:b w:val="false"/>
                <w:bCs w:val="false"/>
                <w:color w:val="64748B"/>
                <w:sz w:val="18"/>
                <w:szCs w:val="18"/>
              </w:rPr>
              <w:t xml:space="preserve">── STEP 1A — Store gross surface ────────────────────</w:t>
            </w:r>
          </w:p>
          <w:p>
            <w:pPr>
              <w:spacing w:after="40" w:before="0"/>
            </w:pPr>
            <w:r>
              <w:rPr>
                <w:rFonts w:ascii="Courier New" w:cs="Courier New" w:eastAsia="Courier New" w:hAnsi="Courier New"/>
                <w:b/>
                <w:bCs/>
                <w:color w:val="86EFAC"/>
                <w:sz w:val="18"/>
                <w:szCs w:val="18"/>
              </w:rPr>
              <w:t xml:space="preserve">S_gross  =  S_workshop  ×  k_store</w:t>
            </w:r>
          </w:p>
          <w:p>
            <w:pPr>
              <w:spacing w:after="40" w:before="0"/>
            </w:pPr>
            <w:r>
              <w:rPr>
                <w:rFonts w:ascii="Courier New" w:cs="Courier New" w:eastAsia="Courier New" w:hAnsi="Courier New"/>
                <w:b w:val="false"/>
                <w:bCs w:val="false"/>
                <w:color w:val="E2E8F0"/>
                <w:sz w:val="18"/>
                <w:szCs w:val="18"/>
              </w:rPr>
              <w:t xml:space="preserve">         =  6 000  ×  0.18  =  1 080 m²</w:t>
            </w:r>
          </w:p>
          <w:p>
            <w:pPr>
              <w:spacing w:after="40" w:before="0"/>
            </w:pPr>
            <w:r>
              <w:rPr>
                <w:rFonts w:ascii="Courier New" w:cs="Courier New" w:eastAsia="Courier New" w:hAnsi="Courier New"/>
                <w:b w:val="false"/>
                <w:bCs w:val="false"/>
                <w:color w:val="E2E8F0"/>
                <w:sz w:val="18"/>
                <w:szCs w:val="18"/>
              </w:rPr>
              <w:t xml:space="preserve"/>
            </w:r>
          </w:p>
          <w:p>
            <w:pPr>
              <w:spacing w:after="40" w:before="0"/>
            </w:pPr>
            <w:r>
              <w:rPr>
                <w:rFonts w:ascii="Courier New" w:cs="Courier New" w:eastAsia="Courier New" w:hAnsi="Courier New"/>
                <w:b w:val="false"/>
                <w:bCs w:val="false"/>
                <w:color w:val="64748B"/>
                <w:sz w:val="18"/>
                <w:szCs w:val="18"/>
              </w:rPr>
              <w:t xml:space="preserve">── STEP 1B — Non-storage area ───────────────────────</w:t>
            </w:r>
          </w:p>
          <w:p>
            <w:pPr>
              <w:spacing w:after="40" w:before="0"/>
            </w:pPr>
            <w:r>
              <w:rPr>
                <w:rFonts w:ascii="Courier New" w:cs="Courier New" w:eastAsia="Courier New" w:hAnsi="Courier New"/>
                <w:b/>
                <w:bCs/>
                <w:color w:val="86EFAC"/>
                <w:sz w:val="18"/>
                <w:szCs w:val="18"/>
              </w:rPr>
              <w:t xml:space="preserve">S_nostor =  S_gross  ×  k_nostor</w:t>
            </w:r>
          </w:p>
          <w:p>
            <w:pPr>
              <w:spacing w:after="40" w:before="0"/>
            </w:pPr>
            <w:r>
              <w:rPr>
                <w:rFonts w:ascii="Courier New" w:cs="Courier New" w:eastAsia="Courier New" w:hAnsi="Courier New"/>
                <w:b w:val="false"/>
                <w:bCs w:val="false"/>
                <w:color w:val="E2E8F0"/>
                <w:sz w:val="18"/>
                <w:szCs w:val="18"/>
              </w:rPr>
              <w:t xml:space="preserve">         =  1 080  ×  0.35  =  378 m²</w:t>
            </w:r>
          </w:p>
          <w:p>
            <w:pPr>
              <w:spacing w:after="40" w:before="0"/>
            </w:pPr>
            <w:r>
              <w:rPr>
                <w:rFonts w:ascii="Courier New" w:cs="Courier New" w:eastAsia="Courier New" w:hAnsi="Courier New"/>
                <w:b w:val="false"/>
                <w:bCs w:val="false"/>
                <w:color w:val="E2E8F0"/>
                <w:sz w:val="18"/>
                <w:szCs w:val="18"/>
              </w:rPr>
              <w:t xml:space="preserve"/>
            </w:r>
          </w:p>
          <w:p>
            <w:pPr>
              <w:spacing w:after="40" w:before="0"/>
            </w:pPr>
            <w:r>
              <w:rPr>
                <w:rFonts w:ascii="Courier New" w:cs="Courier New" w:eastAsia="Courier New" w:hAnsi="Courier New"/>
                <w:b w:val="false"/>
                <w:bCs w:val="false"/>
                <w:color w:val="64748B"/>
                <w:sz w:val="18"/>
                <w:szCs w:val="18"/>
              </w:rPr>
              <w:t xml:space="preserve">── STEP 1C — Net storage area ← BASE OF ALL CALCS ───</w:t>
            </w:r>
          </w:p>
          <w:p>
            <w:pPr>
              <w:spacing w:after="40" w:before="0"/>
            </w:pPr>
            <w:r>
              <w:rPr>
                <w:rFonts w:ascii="Courier New" w:cs="Courier New" w:eastAsia="Courier New" w:hAnsi="Courier New"/>
                <w:b/>
                <w:bCs/>
                <w:color w:val="86EFAC"/>
                <w:sz w:val="18"/>
                <w:szCs w:val="18"/>
              </w:rPr>
              <w:t xml:space="preserve">S_net    =  S_gross  −  S_nostor</w:t>
            </w:r>
          </w:p>
          <w:p>
            <w:pPr>
              <w:spacing w:after="40" w:before="0"/>
            </w:pPr>
            <w:r>
              <w:rPr>
                <w:rFonts w:ascii="Courier New" w:cs="Courier New" w:eastAsia="Courier New" w:hAnsi="Courier New"/>
                <w:b w:val="false"/>
                <w:bCs w:val="false"/>
                <w:color w:val="E2E8F0"/>
                <w:sz w:val="18"/>
                <w:szCs w:val="18"/>
              </w:rPr>
              <w:t xml:space="preserve">         =  1 080  −  378   =  702 m²</w:t>
            </w:r>
          </w:p>
          <w:p>
            <w:pPr>
              <w:spacing w:after="40" w:before="0"/>
            </w:pPr>
            <w:r>
              <w:rPr>
                <w:rFonts w:ascii="Courier New" w:cs="Courier New" w:eastAsia="Courier New" w:hAnsi="Courier New"/>
                <w:b w:val="false"/>
                <w:bCs w:val="false"/>
                <w:color w:val="E2E8F0"/>
                <w:sz w:val="18"/>
                <w:szCs w:val="18"/>
              </w:rPr>
              <w:t xml:space="preserve"/>
            </w:r>
          </w:p>
          <w:p>
            <w:pPr>
              <w:spacing w:after="40" w:before="0"/>
            </w:pPr>
            <w:r>
              <w:rPr>
                <w:rFonts w:ascii="Courier New" w:cs="Courier New" w:eastAsia="Courier New" w:hAnsi="Courier New"/>
                <w:b w:val="false"/>
                <w:bCs w:val="false"/>
                <w:color w:val="64748B"/>
                <w:sz w:val="18"/>
                <w:szCs w:val="18"/>
              </w:rPr>
              <w:t xml:space="preserve">Compact form:</w:t>
            </w:r>
          </w:p>
          <w:p>
            <w:pPr>
              <w:spacing w:after="40" w:before="0"/>
            </w:pPr>
            <w:r>
              <w:rPr>
                <w:rFonts w:ascii="Courier New" w:cs="Courier New" w:eastAsia="Courier New" w:hAnsi="Courier New"/>
                <w:b w:val="false"/>
                <w:bCs w:val="false"/>
                <w:color w:val="CBD5E1"/>
                <w:sz w:val="18"/>
                <w:szCs w:val="18"/>
              </w:rPr>
              <w:t xml:space="preserve">S_net    =  S_workshop × k_store × (1 − k_nostor)</w:t>
            </w:r>
          </w:p>
          <w:p>
            <w:pPr>
              <w:spacing w:after="40" w:before="0"/>
            </w:pPr>
            <w:r>
              <w:rPr>
                <w:rFonts w:ascii="Courier New" w:cs="Courier New" w:eastAsia="Courier New" w:hAnsi="Courier New"/>
                <w:b w:val="false"/>
                <w:bCs w:val="false"/>
                <w:color w:val="E2E8F0"/>
                <w:sz w:val="18"/>
                <w:szCs w:val="18"/>
              </w:rPr>
              <w:t xml:space="preserve">         =  6 000 × 0.18 × 0.65  =  702 m²</w:t>
            </w:r>
          </w:p>
        </w:tc>
      </w:tr>
    </w:tbl>
    <w:p>
      <w:pPr>
        <w:spacing w:after="80" w:before="0"/>
      </w:pPr>
    </w:p>
    <w:p>
      <w:pPr>
        <w:spacing w:after="140" w:before="0"/>
      </w:pPr>
      <w:r>
        <w:rPr>
          <w:rFonts w:ascii="Arial" w:cs="Arial" w:eastAsia="Arial" w:hAnsi="Arial"/>
          <w:sz w:val="22"/>
          <w:szCs w:val="22"/>
        </w:rPr>
        <w:t xml:space="preserve">Physical meaning: of the 6 000 m² workshop building, 18% (1 080 m²) is the store. Of that store, 35% (378 m²) is consumed by receiving docks, staging, offices, and internal circulation. The remaining 65% — 702 m² — is the actual storage area for racks.</w:t>
      </w:r>
    </w:p>
    <w:p>
      <w:pPr>
        <w:spacing w:after="80" w:before="0"/>
      </w:pPr>
    </w:p>
    <w:p>
      <w:pPr>
        <w:pStyle w:val="Heading2"/>
        <w:spacing w:after="120" w:before="280"/>
      </w:pPr>
      <w:r>
        <w:rPr>
          <w:rFonts w:ascii="Arial" w:cs="Arial" w:eastAsia="Arial" w:hAnsi="Arial"/>
          <w:b/>
          <w:bCs/>
          <w:color w:val="1D4ED8"/>
          <w:sz w:val="26"/>
          <w:szCs w:val="26"/>
        </w:rPr>
        <w:t xml:space="preserve">4.2  Step 2 — Raw Zone Allocation per Family (S_raw_i)</w:t>
      </w:r>
    </w:p>
    <w:p>
      <w:pPr>
        <w:spacing w:after="140" w:before="0"/>
      </w:pPr>
      <w:r>
        <w:rPr>
          <w:rFonts w:ascii="Arial" w:cs="Arial" w:eastAsia="Arial" w:hAnsi="Arial"/>
          <w:sz w:val="22"/>
          <w:szCs w:val="22"/>
        </w:rPr>
        <w:t xml:space="preserve">S_net is divided between the eight storage families in proportion to their percentage shares.</w:t>
      </w:r>
    </w:p>
    <w:tbl>
      <w:tblPr>
        <w:tblW w:type="dxa" w:w="9026"/>
        <w:tblBorders>
          <w:top w:val="single" w:color="1D4ED8" w:sz="4"/>
          <w:left w:val="single" w:color="1D4ED8" w:sz="16"/>
          <w:bottom w:val="single" w:color="1D4ED8" w:sz="4"/>
          <w:right w:val="single" w:color="1D4ED8" w:sz="4"/>
          <w:insideH w:val="single" w:color="auto" w:sz="4"/>
          <w:insideV w:val="single" w:color="auto" w:sz="4"/>
        </w:tblBorders>
      </w:tblPr>
      <w:tblGrid>
        <w:gridCol w:w="9026"/>
      </w:tblGrid>
      <w:tr>
        <w:tc>
          <w:tcPr>
            <w:tcW w:type="dxa" w:w="9026"/>
            <w:shd w:fill="0F172A" w:val="clear"/>
            <w:tcMar>
              <w:top w:type="dxa" w:w="160"/>
              <w:left w:type="dxa" w:w="240"/>
              <w:bottom w:type="dxa" w:w="160"/>
              <w:right w:type="dxa" w:w="240"/>
            </w:tcMar>
          </w:tcPr>
          <w:p>
            <w:pPr>
              <w:spacing w:after="40" w:before="0"/>
            </w:pPr>
            <w:r>
              <w:rPr>
                <w:rFonts w:ascii="Courier New" w:cs="Courier New" w:eastAsia="Courier New" w:hAnsi="Courier New"/>
                <w:b/>
                <w:bCs/>
                <w:color w:val="86EFAC"/>
                <w:sz w:val="18"/>
                <w:szCs w:val="18"/>
              </w:rPr>
              <w:t xml:space="preserve">S_raw_i  =  S_net  ×  share_i</w:t>
            </w:r>
          </w:p>
          <w:p>
            <w:pPr>
              <w:spacing w:after="40" w:before="0"/>
            </w:pPr>
            <w:r>
              <w:rPr>
                <w:rFonts w:ascii="Courier New" w:cs="Courier New" w:eastAsia="Courier New" w:hAnsi="Courier New"/>
                <w:b w:val="false"/>
                <w:bCs w:val="false"/>
                <w:color w:val="E2E8F0"/>
                <w:sz w:val="18"/>
                <w:szCs w:val="18"/>
              </w:rPr>
              <w:t xml:space="preserve"/>
            </w:r>
          </w:p>
          <w:p>
            <w:pPr>
              <w:spacing w:after="40" w:before="0"/>
            </w:pPr>
            <w:r>
              <w:rPr>
                <w:rFonts w:ascii="Courier New" w:cs="Courier New" w:eastAsia="Courier New" w:hAnsi="Courier New"/>
                <w:b w:val="false"/>
                <w:bCs w:val="false"/>
                <w:color w:val="64748B"/>
                <w:sz w:val="18"/>
                <w:szCs w:val="18"/>
              </w:rPr>
              <w:t xml:space="preserve">Example — Palletized family (share = 30%):</w:t>
            </w:r>
          </w:p>
          <w:p>
            <w:pPr>
              <w:spacing w:after="40" w:before="0"/>
            </w:pPr>
            <w:r>
              <w:rPr>
                <w:rFonts w:ascii="Courier New" w:cs="Courier New" w:eastAsia="Courier New" w:hAnsi="Courier New"/>
                <w:b w:val="false"/>
                <w:bCs w:val="false"/>
                <w:color w:val="E2E8F0"/>
                <w:sz w:val="18"/>
                <w:szCs w:val="18"/>
              </w:rPr>
              <w:t xml:space="preserve">S_raw_pallet  =  702  ×  0.30  =  210.6 m²</w:t>
            </w:r>
          </w:p>
        </w:tc>
      </w:tr>
    </w:tbl>
    <w:p>
      <w:pPr>
        <w:spacing w:after="140" w:before="0"/>
      </w:pPr>
      <w:r>
        <w:rPr>
          <w:rFonts w:ascii="Arial" w:cs="Arial" w:eastAsia="Arial" w:hAnsi="Arial"/>
          <w:sz w:val="22"/>
          <w:szCs w:val="22"/>
        </w:rPr>
        <w:t xml:space="preserve">This gives the raw zone area: the portion of S_net initially attributed to this family. It is called "raw" because it still includes aisles, access space, and geometric losses — they have not yet been deducted at this stage.</w:t>
      </w:r>
    </w:p>
    <w:p>
      <w:pPr>
        <w:spacing w:after="140" w:before="0"/>
      </w:pPr>
      <w:r>
        <w:rPr>
          <w:rFonts w:ascii="Arial" w:cs="Arial" w:eastAsia="Arial" w:hAnsi="Arial"/>
          <w:sz w:val="22"/>
          <w:szCs w:val="22"/>
        </w:rPr>
        <w:t xml:space="preserve">The word "raw" matters: 210.6 m² does not mean 210.6 m² of racks. It means 210.6 m² of zone, which will be partially occupied by racks and partially by aisles.</w:t>
      </w:r>
    </w:p>
    <w:p>
      <w:pPr>
        <w:spacing w:after="80" w:before="0"/>
      </w:pPr>
    </w:p>
    <w:p>
      <w:pPr>
        <w:pStyle w:val="Heading2"/>
        <w:spacing w:after="120" w:before="280"/>
      </w:pPr>
      <w:r>
        <w:rPr>
          <w:rFonts w:ascii="Arial" w:cs="Arial" w:eastAsia="Arial" w:hAnsi="Arial"/>
          <w:b/>
          <w:bCs/>
          <w:color w:val="1D4ED8"/>
          <w:sz w:val="26"/>
          <w:szCs w:val="26"/>
        </w:rPr>
        <w:t xml:space="preserve">4.3  Step 3 — Equipment Footprint (S_fp_i)</w:t>
      </w:r>
    </w:p>
    <w:p>
      <w:pPr>
        <w:spacing w:after="140" w:before="0"/>
      </w:pPr>
      <w:r>
        <w:rPr>
          <w:rFonts w:ascii="Arial" w:cs="Arial" w:eastAsia="Arial" w:hAnsi="Arial"/>
          <w:sz w:val="22"/>
          <w:szCs w:val="22"/>
        </w:rPr>
        <w:t xml:space="preserve">The efficiency factor is applied to convert the raw zone into the actual footprint of storage equipment, after deducting aisles and access space.</w:t>
      </w:r>
    </w:p>
    <w:tbl>
      <w:tblPr>
        <w:tblW w:type="dxa" w:w="9026"/>
        <w:tblBorders>
          <w:top w:val="single" w:color="1D4ED8" w:sz="4"/>
          <w:left w:val="single" w:color="1D4ED8" w:sz="16"/>
          <w:bottom w:val="single" w:color="1D4ED8" w:sz="4"/>
          <w:right w:val="single" w:color="1D4ED8" w:sz="4"/>
          <w:insideH w:val="single" w:color="auto" w:sz="4"/>
          <w:insideV w:val="single" w:color="auto" w:sz="4"/>
        </w:tblBorders>
      </w:tblPr>
      <w:tblGrid>
        <w:gridCol w:w="9026"/>
      </w:tblGrid>
      <w:tr>
        <w:tc>
          <w:tcPr>
            <w:tcW w:type="dxa" w:w="9026"/>
            <w:shd w:fill="0F172A" w:val="clear"/>
            <w:tcMar>
              <w:top w:type="dxa" w:w="160"/>
              <w:left w:type="dxa" w:w="240"/>
              <w:bottom w:type="dxa" w:w="160"/>
              <w:right w:type="dxa" w:w="240"/>
            </w:tcMar>
          </w:tcPr>
          <w:p>
            <w:pPr>
              <w:spacing w:after="40" w:before="0"/>
            </w:pPr>
            <w:r>
              <w:rPr>
                <w:rFonts w:ascii="Courier New" w:cs="Courier New" w:eastAsia="Courier New" w:hAnsi="Courier New"/>
                <w:b/>
                <w:bCs/>
                <w:color w:val="86EFAC"/>
                <w:sz w:val="18"/>
                <w:szCs w:val="18"/>
              </w:rPr>
              <w:t xml:space="preserve">S_fp_i  =  S_raw_i  ×  eff_i</w:t>
            </w:r>
          </w:p>
          <w:p>
            <w:pPr>
              <w:spacing w:after="40" w:before="0"/>
            </w:pPr>
            <w:r>
              <w:rPr>
                <w:rFonts w:ascii="Courier New" w:cs="Courier New" w:eastAsia="Courier New" w:hAnsi="Courier New"/>
                <w:b w:val="false"/>
                <w:bCs w:val="false"/>
                <w:color w:val="E2E8F0"/>
                <w:sz w:val="18"/>
                <w:szCs w:val="18"/>
              </w:rPr>
              <w:t xml:space="preserve"/>
            </w:r>
          </w:p>
          <w:p>
            <w:pPr>
              <w:spacing w:after="40" w:before="0"/>
            </w:pPr>
            <w:r>
              <w:rPr>
                <w:rFonts w:ascii="Courier New" w:cs="Courier New" w:eastAsia="Courier New" w:hAnsi="Courier New"/>
                <w:b w:val="false"/>
                <w:bCs w:val="false"/>
                <w:color w:val="FCA5A5"/>
                <w:sz w:val="18"/>
                <w:szCs w:val="18"/>
              </w:rPr>
              <w:t xml:space="preserve">S_aisles_i  =  S_raw_i  ×  (1 − eff_i)   ← informational</w:t>
            </w:r>
          </w:p>
          <w:p>
            <w:pPr>
              <w:spacing w:after="40" w:before="0"/>
            </w:pPr>
            <w:r>
              <w:rPr>
                <w:rFonts w:ascii="Courier New" w:cs="Courier New" w:eastAsia="Courier New" w:hAnsi="Courier New"/>
                <w:b w:val="false"/>
                <w:bCs w:val="false"/>
                <w:color w:val="E2E8F0"/>
                <w:sz w:val="18"/>
                <w:szCs w:val="18"/>
              </w:rPr>
              <w:t xml:space="preserve"/>
            </w:r>
          </w:p>
          <w:p>
            <w:pPr>
              <w:spacing w:after="40" w:before="0"/>
            </w:pPr>
            <w:r>
              <w:rPr>
                <w:rFonts w:ascii="Courier New" w:cs="Courier New" w:eastAsia="Courier New" w:hAnsi="Courier New"/>
                <w:b w:val="false"/>
                <w:bCs w:val="false"/>
                <w:color w:val="64748B"/>
                <w:sz w:val="18"/>
                <w:szCs w:val="18"/>
              </w:rPr>
              <w:t xml:space="preserve">Example — Palletized family:</w:t>
            </w:r>
          </w:p>
          <w:p>
            <w:pPr>
              <w:spacing w:after="40" w:before="0"/>
            </w:pPr>
            <w:r>
              <w:rPr>
                <w:rFonts w:ascii="Courier New" w:cs="Courier New" w:eastAsia="Courier New" w:hAnsi="Courier New"/>
                <w:b w:val="false"/>
                <w:bCs w:val="false"/>
                <w:color w:val="E2E8F0"/>
                <w:sz w:val="18"/>
                <w:szCs w:val="18"/>
              </w:rPr>
              <w:t xml:space="preserve">S_fp_pallet   =  210.6  ×  0.45  =  94.8 m²   ← rack footprint</w:t>
            </w:r>
          </w:p>
          <w:p>
            <w:pPr>
              <w:spacing w:after="40" w:before="0"/>
            </w:pPr>
            <w:r>
              <w:rPr>
                <w:rFonts w:ascii="Courier New" w:cs="Courier New" w:eastAsia="Courier New" w:hAnsi="Courier New"/>
                <w:b w:val="false"/>
                <w:bCs w:val="false"/>
                <w:color w:val="FCA5A5"/>
                <w:sz w:val="18"/>
                <w:szCs w:val="18"/>
              </w:rPr>
              <w:t xml:space="preserve">S_aisles_pal  =  210.6  ×  0.55  =  115.8 m²  ← forklit aisles</w:t>
            </w:r>
          </w:p>
        </w:tc>
      </w:tr>
    </w:tbl>
    <w:p>
      <w:pPr>
        <w:spacing w:after="140" w:before="0"/>
      </w:pPr>
      <w:r>
        <w:rPr>
          <w:rFonts w:ascii="Arial" w:cs="Arial" w:eastAsia="Arial" w:hAnsi="Arial"/>
          <w:sz w:val="22"/>
          <w:szCs w:val="22"/>
        </w:rPr>
        <w:t xml:space="preserve">Physical meaning: of the 210.6 m² pallet zone, 94.8 m² will be covered by actual rack structures. The remaining 115.8 m² is the space required for forklift circulation, manouvering, picking, and safety clearances. This 115.8 m² is not wasted — it is essential for operation.</w:t>
      </w:r>
    </w:p>
    <w:p>
      <w:pPr>
        <w:spacing w:after="140" w:before="0"/>
      </w:pPr>
      <w:r>
        <w:rPr>
          <w:rFonts w:ascii="Arial" w:cs="Arial" w:eastAsia="Arial" w:hAnsi="Arial"/>
          <w:b/>
          <w:bCs/>
          <w:color w:val="000000"/>
          <w:sz w:val="22"/>
          <w:szCs w:val="22"/>
        </w:rPr>
        <w:t xml:space="preserve">Key insight: </w:t>
      </w:r>
      <w:r>
        <w:rPr>
          <w:rFonts w:ascii="Arial" w:cs="Arial" w:eastAsia="Arial" w:hAnsi="Arial"/>
          <w:sz w:val="22"/>
          <w:szCs w:val="22"/>
        </w:rPr>
        <w:t xml:space="preserve">it is the footprint S_fp that is used for all capacity calculations — never the raw zone S_raw. Using S_raw would over-estimate capacity by a factor of 1/eff (e.g. ×2.2 for pallet racks). This is why the efficiency factor must be applied before converting area to capacity.</w:t>
      </w:r>
    </w:p>
    <w:p>
      <w:pPr>
        <w:spacing w:after="80" w:before="0"/>
      </w:pPr>
    </w:p>
    <w:p>
      <w:pPr>
        <w:pStyle w:val="Heading2"/>
        <w:spacing w:after="120" w:before="280"/>
      </w:pPr>
      <w:r>
        <w:rPr>
          <w:rFonts w:ascii="Arial" w:cs="Arial" w:eastAsia="Arial" w:hAnsi="Arial"/>
          <w:b/>
          <w:bCs/>
          <w:color w:val="1D4ED8"/>
          <w:sz w:val="26"/>
          <w:szCs w:val="26"/>
        </w:rPr>
        <w:t xml:space="preserve">4.4  Step 4 — Pallet Rack Geometry</w:t>
      </w:r>
    </w:p>
    <w:p>
      <w:pPr>
        <w:spacing w:after="140" w:before="0"/>
      </w:pPr>
      <w:r>
        <w:rPr>
          <w:rFonts w:ascii="Arial" w:cs="Arial" w:eastAsia="Arial" w:hAnsi="Arial"/>
          <w:sz w:val="22"/>
          <w:szCs w:val="22"/>
        </w:rPr>
        <w:t xml:space="preserve">Before calculating pallet rack capacity, the model computes the geometric dimensions of a standard bay. These dimensions are derived from the parameters in the Assumptions tab.</w:t>
      </w:r>
    </w:p>
    <w:p>
      <w:pPr>
        <w:spacing w:after="80" w:before="0"/>
      </w:pPr>
    </w:p>
    <w:p>
      <w:pPr>
        <w:pStyle w:val="Heading3"/>
        <w:spacing w:after="80" w:before="200"/>
      </w:pPr>
      <w:r>
        <w:rPr>
          <w:rFonts w:ascii="Arial" w:cs="Arial" w:eastAsia="Arial" w:hAnsi="Arial"/>
          <w:b/>
          <w:bCs/>
          <w:color w:val="374151"/>
          <w:sz w:val="22"/>
          <w:szCs w:val="22"/>
        </w:rPr>
        <w:t xml:space="preserve">Bay width — bay_W</w:t>
      </w:r>
    </w:p>
    <w:p>
      <w:pPr>
        <w:spacing w:after="140" w:before="0"/>
      </w:pPr>
      <w:r>
        <w:rPr>
          <w:rFonts w:ascii="Arial" w:cs="Arial" w:eastAsia="Arial" w:hAnsi="Arial"/>
          <w:sz w:val="22"/>
          <w:szCs w:val="22"/>
        </w:rPr>
        <w:t xml:space="preserve">bay_W is the width of one standard rack bay, measured from the outside of the left upright to the outside of the right upright. It fits exactly 2 pallets side by side, with the required safety clearances.</w:t>
      </w:r>
    </w:p>
    <w:tbl>
      <w:tblPr>
        <w:tblW w:type="dxa" w:w="9026"/>
        <w:tblBorders>
          <w:top w:val="single" w:color="1D4ED8" w:sz="4"/>
          <w:left w:val="single" w:color="1D4ED8" w:sz="16"/>
          <w:bottom w:val="single" w:color="1D4ED8" w:sz="4"/>
          <w:right w:val="single" w:color="1D4ED8" w:sz="4"/>
          <w:insideH w:val="single" w:color="auto" w:sz="4"/>
          <w:insideV w:val="single" w:color="auto" w:sz="4"/>
        </w:tblBorders>
      </w:tblPr>
      <w:tblGrid>
        <w:gridCol w:w="9026"/>
      </w:tblGrid>
      <w:tr>
        <w:tc>
          <w:tcPr>
            <w:tcW w:type="dxa" w:w="9026"/>
            <w:shd w:fill="0F172A" w:val="clear"/>
            <w:tcMar>
              <w:top w:type="dxa" w:w="160"/>
              <w:left w:type="dxa" w:w="240"/>
              <w:bottom w:type="dxa" w:w="160"/>
              <w:right w:type="dxa" w:w="240"/>
            </w:tcMar>
          </w:tcPr>
          <w:p>
            <w:pPr>
              <w:spacing w:after="40" w:before="0"/>
            </w:pPr>
            <w:r>
              <w:rPr>
                <w:rFonts w:ascii="Courier New" w:cs="Courier New" w:eastAsia="Courier New" w:hAnsi="Courier New"/>
                <w:b/>
                <w:bCs/>
                <w:color w:val="86EFAC"/>
                <w:sz w:val="18"/>
                <w:szCs w:val="18"/>
              </w:rPr>
              <w:t xml:space="preserve">bay_W  =  2 × pal_w  +  2 × clr_s  +  clr_b</w:t>
            </w:r>
          </w:p>
          <w:p>
            <w:pPr>
              <w:spacing w:after="40" w:before="0"/>
            </w:pPr>
            <w:r>
              <w:rPr>
                <w:rFonts w:ascii="Courier New" w:cs="Courier New" w:eastAsia="Courier New" w:hAnsi="Courier New"/>
                <w:b w:val="false"/>
                <w:bCs w:val="false"/>
                <w:color w:val="E2E8F0"/>
                <w:sz w:val="18"/>
                <w:szCs w:val="18"/>
              </w:rPr>
              <w:t xml:space="preserve">       =  2×1.20  +  2×0.075  +  0.10</w:t>
            </w:r>
          </w:p>
          <w:p>
            <w:pPr>
              <w:spacing w:after="40" w:before="0"/>
            </w:pPr>
            <w:r>
              <w:rPr>
                <w:rFonts w:ascii="Courier New" w:cs="Courier New" w:eastAsia="Courier New" w:hAnsi="Courier New"/>
                <w:b w:val="false"/>
                <w:bCs w:val="false"/>
                <w:color w:val="E2E8F0"/>
                <w:sz w:val="18"/>
                <w:szCs w:val="18"/>
              </w:rPr>
              <w:t xml:space="preserve">       =  2.40  +  0.15  +  0.10  =  2.65 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pPr>
              <w:spacing w:after="0" w:before="0"/>
            </w:pPr>
            <w:r>
              <w:rPr>
                <w:rFonts w:ascii="Arial" w:cs="Arial" w:eastAsia="Arial" w:hAnsi="Arial"/>
                <w:b/>
                <w:bCs/>
                <w:color w:val="1D4ED8"/>
                <w:sz w:val="22"/>
                <w:szCs w:val="22"/>
              </w:rPr>
              <w:t xml:space="preserve">📐  bay_W — visual decomposition</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Front view of one bay level:</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|upright| clr_s | PAL 1 (1.20m) | clr_b | PAL 2 (1.20m) | clr_s |upright|</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 pal_w →         ← clr_b →  ← pal_w →</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 bay_W = 2.65 m ─────────────────────→</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Note: the 2 pallets do not fill the full bay width.</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The clearances clr_s and clr_b account for positioning</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tolerances and safe fork insertion.</w:t>
            </w:r>
          </w:p>
        </w:tc>
      </w:tr>
    </w:tbl>
    <w:p>
      <w:pPr>
        <w:spacing w:after="80" w:before="0"/>
      </w:pPr>
    </w:p>
    <w:p>
      <w:pPr>
        <w:pStyle w:val="Heading3"/>
        <w:spacing w:after="80" w:before="200"/>
      </w:pPr>
      <w:r>
        <w:rPr>
          <w:rFonts w:ascii="Arial" w:cs="Arial" w:eastAsia="Arial" w:hAnsi="Arial"/>
          <w:b/>
          <w:bCs/>
          <w:color w:val="374151"/>
          <w:sz w:val="22"/>
          <w:szCs w:val="22"/>
        </w:rPr>
        <w:t xml:space="preserve">Bay depth — bay_D</w:t>
      </w:r>
    </w:p>
    <w:p>
      <w:pPr>
        <w:spacing w:after="140" w:before="0"/>
      </w:pPr>
      <w:r>
        <w:rPr>
          <w:rFonts w:ascii="Arial" w:cs="Arial" w:eastAsia="Arial" w:hAnsi="Arial"/>
          <w:sz w:val="22"/>
          <w:szCs w:val="22"/>
        </w:rPr>
        <w:t xml:space="preserve">bay_D is the depth of the rack measured from the aisle face of the front upright to the back of the rear structure.</w:t>
      </w:r>
    </w:p>
    <w:tbl>
      <w:tblPr>
        <w:tblW w:type="dxa" w:w="9026"/>
        <w:tblBorders>
          <w:top w:val="single" w:color="1D4ED8" w:sz="4"/>
          <w:left w:val="single" w:color="1D4ED8" w:sz="16"/>
          <w:bottom w:val="single" w:color="1D4ED8" w:sz="4"/>
          <w:right w:val="single" w:color="1D4ED8" w:sz="4"/>
          <w:insideH w:val="single" w:color="auto" w:sz="4"/>
          <w:insideV w:val="single" w:color="auto" w:sz="4"/>
        </w:tblBorders>
      </w:tblPr>
      <w:tblGrid>
        <w:gridCol w:w="9026"/>
      </w:tblGrid>
      <w:tr>
        <w:tc>
          <w:tcPr>
            <w:tcW w:type="dxa" w:w="9026"/>
            <w:shd w:fill="0F172A" w:val="clear"/>
            <w:tcMar>
              <w:top w:type="dxa" w:w="160"/>
              <w:left w:type="dxa" w:w="240"/>
              <w:bottom w:type="dxa" w:w="160"/>
              <w:right w:type="dxa" w:w="240"/>
            </w:tcMar>
          </w:tcPr>
          <w:p>
            <w:pPr>
              <w:spacing w:after="40" w:before="0"/>
            </w:pPr>
            <w:r>
              <w:rPr>
                <w:rFonts w:ascii="Courier New" w:cs="Courier New" w:eastAsia="Courier New" w:hAnsi="Courier New"/>
                <w:b/>
                <w:bCs/>
                <w:color w:val="86EFAC"/>
                <w:sz w:val="18"/>
                <w:szCs w:val="18"/>
              </w:rPr>
              <w:t xml:space="preserve">bay_D  =  pal_d  +  clr_d</w:t>
            </w:r>
          </w:p>
          <w:p>
            <w:pPr>
              <w:spacing w:after="40" w:before="0"/>
            </w:pPr>
            <w:r>
              <w:rPr>
                <w:rFonts w:ascii="Courier New" w:cs="Courier New" w:eastAsia="Courier New" w:hAnsi="Courier New"/>
                <w:b w:val="false"/>
                <w:bCs w:val="false"/>
                <w:color w:val="E2E8F0"/>
                <w:sz w:val="18"/>
                <w:szCs w:val="18"/>
              </w:rPr>
              <w:t xml:space="preserve">       =  0.80  +  0.10  =  0.90 m</w:t>
            </w:r>
          </w:p>
        </w:tc>
      </w:tr>
    </w:tbl>
    <w:p>
      <w:pPr>
        <w:spacing w:after="140" w:before="0"/>
      </w:pPr>
      <w:r>
        <w:rPr>
          <w:rFonts w:ascii="Arial" w:cs="Arial" w:eastAsia="Arial" w:hAnsi="Arial"/>
          <w:sz w:val="22"/>
          <w:szCs w:val="22"/>
        </w:rPr>
        <w:t xml:space="preserve">The depth tolerance clr_d (100 mm) absorbs: rear pallet overhang, the back structure of the rack, and any positioning tolerance when the forklift slides the pallet in.</w:t>
      </w:r>
    </w:p>
    <w:p>
      <w:pPr>
        <w:spacing w:after="80" w:before="0"/>
      </w:pPr>
    </w:p>
    <w:p>
      <w:pPr>
        <w:pStyle w:val="Heading3"/>
        <w:spacing w:after="80" w:before="200"/>
      </w:pPr>
      <w:r>
        <w:rPr>
          <w:rFonts w:ascii="Arial" w:cs="Arial" w:eastAsia="Arial" w:hAnsi="Arial"/>
          <w:b/>
          <w:bCs/>
          <w:color w:val="374151"/>
          <w:sz w:val="22"/>
          <w:szCs w:val="22"/>
        </w:rPr>
        <w:t xml:space="preserve">Position footprint — a_pos</w:t>
      </w:r>
    </w:p>
    <w:p>
      <w:pPr>
        <w:spacing w:after="140" w:before="0"/>
      </w:pPr>
      <w:r>
        <w:rPr>
          <w:rFonts w:ascii="Arial" w:cs="Arial" w:eastAsia="Arial" w:hAnsi="Arial"/>
          <w:sz w:val="22"/>
          <w:szCs w:val="22"/>
        </w:rPr>
        <w:t xml:space="preserve">a_pos is the floor area "consumed" by one pallet position at one level. It is the most important geometric output of this section, because it is the divisor in the capacity formula.</w:t>
      </w:r>
    </w:p>
    <w:tbl>
      <w:tblPr>
        <w:tblW w:type="dxa" w:w="9026"/>
        <w:tblBorders>
          <w:top w:val="single" w:color="1D4ED8" w:sz="4"/>
          <w:left w:val="single" w:color="1D4ED8" w:sz="16"/>
          <w:bottom w:val="single" w:color="1D4ED8" w:sz="4"/>
          <w:right w:val="single" w:color="1D4ED8" w:sz="4"/>
          <w:insideH w:val="single" w:color="auto" w:sz="4"/>
          <w:insideV w:val="single" w:color="auto" w:sz="4"/>
        </w:tblBorders>
      </w:tblPr>
      <w:tblGrid>
        <w:gridCol w:w="9026"/>
      </w:tblGrid>
      <w:tr>
        <w:tc>
          <w:tcPr>
            <w:tcW w:type="dxa" w:w="9026"/>
            <w:shd w:fill="0F172A" w:val="clear"/>
            <w:tcMar>
              <w:top w:type="dxa" w:w="160"/>
              <w:left w:type="dxa" w:w="240"/>
              <w:bottom w:type="dxa" w:w="160"/>
              <w:right w:type="dxa" w:w="240"/>
            </w:tcMar>
          </w:tcPr>
          <w:p>
            <w:pPr>
              <w:spacing w:after="40" w:before="0"/>
            </w:pPr>
            <w:r>
              <w:rPr>
                <w:rFonts w:ascii="Courier New" w:cs="Courier New" w:eastAsia="Courier New" w:hAnsi="Courier New"/>
                <w:b/>
                <w:bCs/>
                <w:color w:val="86EFAC"/>
                <w:sz w:val="18"/>
                <w:szCs w:val="18"/>
              </w:rPr>
              <w:t xml:space="preserve">a_pos  =  bay_W  ×  bay_D  /  pal_bay</w:t>
            </w:r>
          </w:p>
          <w:p>
            <w:pPr>
              <w:spacing w:after="40" w:before="0"/>
            </w:pPr>
            <w:r>
              <w:rPr>
                <w:rFonts w:ascii="Courier New" w:cs="Courier New" w:eastAsia="Courier New" w:hAnsi="Courier New"/>
                <w:b w:val="false"/>
                <w:bCs w:val="false"/>
                <w:color w:val="E2E8F0"/>
                <w:sz w:val="18"/>
                <w:szCs w:val="18"/>
              </w:rPr>
              <w:t xml:space="preserve">       =  2.65  ×  0.90  /  2</w:t>
            </w:r>
          </w:p>
          <w:p>
            <w:pPr>
              <w:spacing w:after="40" w:before="0"/>
            </w:pPr>
            <w:r>
              <w:rPr>
                <w:rFonts w:ascii="Courier New" w:cs="Courier New" w:eastAsia="Courier New" w:hAnsi="Courier New"/>
                <w:b w:val="false"/>
                <w:bCs w:val="false"/>
                <w:color w:val="86EFAC"/>
                <w:sz w:val="18"/>
                <w:szCs w:val="18"/>
              </w:rPr>
              <w:t xml:space="preserve">       =  2.385  /  2  =  1.1925 m²/position</w:t>
            </w:r>
          </w:p>
        </w:tc>
      </w:tr>
    </w:tbl>
    <w:p>
      <w:pPr>
        <w:spacing w:after="140" w:before="0"/>
      </w:pPr>
      <w:r>
        <w:rPr>
          <w:rFonts w:ascii="Arial" w:cs="Arial" w:eastAsia="Arial" w:hAnsi="Arial"/>
          <w:sz w:val="22"/>
          <w:szCs w:val="22"/>
        </w:rPr>
        <w:t xml:space="preserve">Physical meaning: to store one pallet on one level requires 1.1925 m² of rack footprint. This is why you divide by 2 (pal_bay): a bay holds 2 pallets per level, so the footprint is shared between them.</w:t>
      </w:r>
    </w:p>
    <w:p>
      <w:pPr>
        <w:spacing w:after="80" w:before="0"/>
      </w:pPr>
    </w:p>
    <w:p>
      <w:pPr>
        <w:pStyle w:val="Heading3"/>
        <w:spacing w:after="80" w:before="200"/>
      </w:pPr>
      <w:r>
        <w:rPr>
          <w:rFonts w:ascii="Arial" w:cs="Arial" w:eastAsia="Arial" w:hAnsi="Arial"/>
          <w:b/>
          <w:bCs/>
          <w:color w:val="374151"/>
          <w:sz w:val="22"/>
          <w:szCs w:val="22"/>
        </w:rPr>
        <w:t xml:space="preserve">Height per level — h_lev</w:t>
      </w:r>
    </w:p>
    <w:p>
      <w:pPr>
        <w:spacing w:after="140" w:before="0"/>
      </w:pPr>
      <w:r>
        <w:rPr>
          <w:rFonts w:ascii="Arial" w:cs="Arial" w:eastAsia="Arial" w:hAnsi="Arial"/>
          <w:sz w:val="22"/>
          <w:szCs w:val="22"/>
        </w:rPr>
        <w:t xml:space="preserve">h_lev is the vertical pitch between successive beam levels — the space needed to accommodate one loaded pallet plus the vertical clearance above it.</w:t>
      </w:r>
    </w:p>
    <w:tbl>
      <w:tblPr>
        <w:tblW w:type="dxa" w:w="9026"/>
        <w:tblBorders>
          <w:top w:val="single" w:color="1D4ED8" w:sz="4"/>
          <w:left w:val="single" w:color="1D4ED8" w:sz="16"/>
          <w:bottom w:val="single" w:color="1D4ED8" w:sz="4"/>
          <w:right w:val="single" w:color="1D4ED8" w:sz="4"/>
          <w:insideH w:val="single" w:color="auto" w:sz="4"/>
          <w:insideV w:val="single" w:color="auto" w:sz="4"/>
        </w:tblBorders>
      </w:tblPr>
      <w:tblGrid>
        <w:gridCol w:w="9026"/>
      </w:tblGrid>
      <w:tr>
        <w:tc>
          <w:tcPr>
            <w:tcW w:type="dxa" w:w="9026"/>
            <w:shd w:fill="0F172A" w:val="clear"/>
            <w:tcMar>
              <w:top w:type="dxa" w:w="160"/>
              <w:left w:type="dxa" w:w="240"/>
              <w:bottom w:type="dxa" w:w="160"/>
              <w:right w:type="dxa" w:w="240"/>
            </w:tcMar>
          </w:tcPr>
          <w:p>
            <w:pPr>
              <w:spacing w:after="40" w:before="0"/>
            </w:pPr>
            <w:r>
              <w:rPr>
                <w:rFonts w:ascii="Courier New" w:cs="Courier New" w:eastAsia="Courier New" w:hAnsi="Courier New"/>
                <w:b/>
                <w:bCs/>
                <w:color w:val="86EFAC"/>
                <w:sz w:val="18"/>
                <w:szCs w:val="18"/>
              </w:rPr>
              <w:t xml:space="preserve">h_lev  =  pal_h  +  clr_v</w:t>
            </w:r>
          </w:p>
          <w:p>
            <w:pPr>
              <w:spacing w:after="40" w:before="0"/>
            </w:pPr>
            <w:r>
              <w:rPr>
                <w:rFonts w:ascii="Courier New" w:cs="Courier New" w:eastAsia="Courier New" w:hAnsi="Courier New"/>
                <w:b w:val="false"/>
                <w:bCs w:val="false"/>
                <w:color w:val="E2E8F0"/>
                <w:sz w:val="18"/>
                <w:szCs w:val="18"/>
              </w:rPr>
              <w:t xml:space="preserve">       =  1.20  +  0.20  =  1.40 m</w:t>
            </w:r>
          </w:p>
        </w:tc>
      </w:tr>
    </w:tbl>
    <w:p>
      <w:pPr>
        <w:spacing w:after="140" w:before="0"/>
      </w:pPr>
      <w:r>
        <w:rPr>
          <w:rFonts w:ascii="Arial" w:cs="Arial" w:eastAsia="Arial" w:hAnsi="Arial"/>
          <w:sz w:val="22"/>
          <w:szCs w:val="22"/>
        </w:rPr>
        <w:t xml:space="preserve">The vertical clearance clr_v (200 mm) is the minimum free space required between the top of the loaded pallet and the underside of the beam above. It allows the forklift to insert and extract the load without touching the upper beam.</w:t>
      </w:r>
    </w:p>
    <w:p>
      <w:pPr>
        <w:spacing w:after="80" w:before="0"/>
      </w:pPr>
    </w:p>
    <w:p>
      <w:pPr>
        <w:pStyle w:val="Heading3"/>
        <w:spacing w:after="80" w:before="200"/>
      </w:pPr>
      <w:r>
        <w:rPr>
          <w:rFonts w:ascii="Arial" w:cs="Arial" w:eastAsia="Arial" w:hAnsi="Arial"/>
          <w:b/>
          <w:bCs/>
          <w:color w:val="374151"/>
          <w:sz w:val="22"/>
          <w:szCs w:val="22"/>
        </w:rPr>
        <w:t xml:space="preserve">Number of levels — N_lev (automatic)</w:t>
      </w:r>
    </w:p>
    <w:p>
      <w:pPr>
        <w:spacing w:after="140" w:before="0"/>
      </w:pPr>
      <w:r>
        <w:rPr>
          <w:rFonts w:ascii="Arial" w:cs="Arial" w:eastAsia="Arial" w:hAnsi="Arial"/>
          <w:sz w:val="22"/>
          <w:szCs w:val="22"/>
        </w:rPr>
        <w:t xml:space="preserve">This is one of the key automatic outputs of the model. N_lev is computed from H_useful and the rack geometry, not set manually.</w:t>
      </w:r>
    </w:p>
    <w:tbl>
      <w:tblPr>
        <w:tblW w:type="dxa" w:w="9026"/>
        <w:tblBorders>
          <w:top w:val="single" w:color="1D4ED8" w:sz="4"/>
          <w:left w:val="single" w:color="1D4ED8" w:sz="16"/>
          <w:bottom w:val="single" w:color="1D4ED8" w:sz="4"/>
          <w:right w:val="single" w:color="1D4ED8" w:sz="4"/>
          <w:insideH w:val="single" w:color="auto" w:sz="4"/>
          <w:insideV w:val="single" w:color="auto" w:sz="4"/>
        </w:tblBorders>
      </w:tblPr>
      <w:tblGrid>
        <w:gridCol w:w="9026"/>
      </w:tblGrid>
      <w:tr>
        <w:tc>
          <w:tcPr>
            <w:tcW w:type="dxa" w:w="9026"/>
            <w:shd w:fill="0F172A" w:val="clear"/>
            <w:tcMar>
              <w:top w:type="dxa" w:w="160"/>
              <w:left w:type="dxa" w:w="240"/>
              <w:bottom w:type="dxa" w:w="160"/>
              <w:right w:type="dxa" w:w="240"/>
            </w:tcMar>
          </w:tcPr>
          <w:p>
            <w:pPr>
              <w:spacing w:after="40" w:before="0"/>
            </w:pPr>
            <w:r>
              <w:rPr>
                <w:rFonts w:ascii="Courier New" w:cs="Courier New" w:eastAsia="Courier New" w:hAnsi="Courier New"/>
                <w:b/>
                <w:bCs/>
                <w:color w:val="86EFAC"/>
                <w:sz w:val="18"/>
                <w:szCs w:val="18"/>
              </w:rPr>
              <w:t xml:space="preserve">N_lev  =  INT( (H_useful − clr_bt − clr_tp) / h_lev )</w:t>
            </w:r>
          </w:p>
          <w:p>
            <w:pPr>
              <w:spacing w:after="40" w:before="0"/>
            </w:pPr>
            <w:r>
              <w:rPr>
                <w:rFonts w:ascii="Courier New" w:cs="Courier New" w:eastAsia="Courier New" w:hAnsi="Courier New"/>
                <w:b w:val="false"/>
                <w:bCs w:val="false"/>
                <w:color w:val="E2E8F0"/>
                <w:sz w:val="18"/>
                <w:szCs w:val="18"/>
              </w:rPr>
              <w:t xml:space="preserve">       =  INT( (6.00 − 0.15 − 0.30) / 1.40 )</w:t>
            </w:r>
          </w:p>
          <w:p>
            <w:pPr>
              <w:spacing w:after="40" w:before="0"/>
            </w:pPr>
            <w:r>
              <w:rPr>
                <w:rFonts w:ascii="Courier New" w:cs="Courier New" w:eastAsia="Courier New" w:hAnsi="Courier New"/>
                <w:b w:val="false"/>
                <w:bCs w:val="false"/>
                <w:color w:val="E2E8F0"/>
                <w:sz w:val="18"/>
                <w:szCs w:val="18"/>
              </w:rPr>
              <w:t xml:space="preserve">       =  INT( 5.55 / 1.40 )</w:t>
            </w:r>
          </w:p>
          <w:p>
            <w:pPr>
              <w:spacing w:after="40" w:before="0"/>
            </w:pPr>
            <w:r>
              <w:rPr>
                <w:rFonts w:ascii="Courier New" w:cs="Courier New" w:eastAsia="Courier New" w:hAnsi="Courier New"/>
                <w:b w:val="false"/>
                <w:bCs w:val="false"/>
                <w:color w:val="86EFAC"/>
                <w:sz w:val="18"/>
                <w:szCs w:val="18"/>
              </w:rPr>
              <w:t xml:space="preserve">       =  INT( 3.964 )  =  3 levels</w:t>
            </w:r>
          </w:p>
        </w:tc>
      </w:tr>
    </w:tbl>
    <w:p>
      <w:pPr>
        <w:spacing w:after="140" w:before="0"/>
      </w:pPr>
      <w:r>
        <w:rPr>
          <w:rFonts w:ascii="Arial" w:cs="Arial" w:eastAsia="Arial" w:hAnsi="Arial"/>
          <w:b/>
          <w:bCs/>
          <w:color w:val="000000"/>
          <w:sz w:val="22"/>
          <w:szCs w:val="22"/>
        </w:rPr>
        <w:t xml:space="preserve">INT() means: </w:t>
      </w:r>
      <w:r>
        <w:rPr>
          <w:rFonts w:ascii="Arial" w:cs="Arial" w:eastAsia="Arial" w:hAnsi="Arial"/>
          <w:sz w:val="22"/>
          <w:szCs w:val="22"/>
        </w:rPr>
        <w:t xml:space="preserve">take the integer part, rounding down. INT(3.964) = 3, not 4. A fractional level is physically impossible. If 4 levels were forced, the top level would exceed H_useful, violating the top clearance requirement.</w:t>
      </w:r>
    </w:p>
    <w:p>
      <w:pPr>
        <w:spacing w:after="140" w:before="0"/>
      </w:pPr>
      <w:r>
        <w:rPr>
          <w:rFonts w:ascii="Arial" w:cs="Arial" w:eastAsia="Arial" w:hAnsi="Arial"/>
          <w:b/>
          <w:bCs/>
          <w:color w:val="000000"/>
          <w:sz w:val="22"/>
          <w:szCs w:val="22"/>
        </w:rPr>
        <w:t xml:space="preserve">clr_bt </w:t>
      </w:r>
      <w:r>
        <w:rPr>
          <w:rFonts w:ascii="Arial" w:cs="Arial" w:eastAsia="Arial" w:hAnsi="Arial"/>
          <w:sz w:val="22"/>
          <w:szCs w:val="22"/>
        </w:rPr>
        <w:t xml:space="preserve">(150 mm) is the bottom clearance: the height of the first beam above the floor. It prevents fork tip contact with rack feet when picking from the lowest level.</w:t>
      </w:r>
    </w:p>
    <w:p>
      <w:pPr>
        <w:spacing w:after="140" w:before="0"/>
      </w:pPr>
      <w:r>
        <w:rPr>
          <w:rFonts w:ascii="Arial" w:cs="Arial" w:eastAsia="Arial" w:hAnsi="Arial"/>
          <w:b/>
          <w:bCs/>
          <w:color w:val="000000"/>
          <w:sz w:val="22"/>
          <w:szCs w:val="22"/>
        </w:rPr>
        <w:t xml:space="preserve">clr_tp </w:t>
      </w:r>
      <w:r>
        <w:rPr>
          <w:rFonts w:ascii="Arial" w:cs="Arial" w:eastAsia="Arial" w:hAnsi="Arial"/>
          <w:sz w:val="22"/>
          <w:szCs w:val="22"/>
        </w:rPr>
        <w:t xml:space="preserve">(300 mm) is the top clearance: the minimum free space below the building structure when the top level is loaded. It protects services, structure, and fire suppression equipment.</w:t>
      </w:r>
    </w:p>
    <w:p>
      <w:pPr>
        <w:spacing w:after="80" w:before="0"/>
      </w:pPr>
    </w:p>
    <w:p>
      <w:pPr>
        <w:pStyle w:val="Heading3"/>
        <w:spacing w:after="80" w:before="200"/>
      </w:pPr>
      <w:r>
        <w:rPr>
          <w:rFonts w:ascii="Arial" w:cs="Arial" w:eastAsia="Arial" w:hAnsi="Arial"/>
          <w:b/>
          <w:bCs/>
          <w:color w:val="374151"/>
          <w:sz w:val="22"/>
          <w:szCs w:val="22"/>
        </w:rPr>
        <w:t xml:space="preserve">Frame height check — h_frame</w:t>
      </w:r>
    </w:p>
    <w:p>
      <w:pPr>
        <w:spacing w:after="140" w:before="0"/>
      </w:pPr>
      <w:r>
        <w:rPr>
          <w:rFonts w:ascii="Arial" w:cs="Arial" w:eastAsia="Arial" w:hAnsi="Arial"/>
          <w:sz w:val="22"/>
          <w:szCs w:val="22"/>
        </w:rPr>
        <w:t xml:space="preserve">After computing N_lev, the model calculates the actual frame height and compares it to H_useful. This is a safety verification.</w:t>
      </w:r>
    </w:p>
    <w:tbl>
      <w:tblPr>
        <w:tblW w:type="dxa" w:w="9026"/>
        <w:tblBorders>
          <w:top w:val="single" w:color="1D4ED8" w:sz="4"/>
          <w:left w:val="single" w:color="1D4ED8" w:sz="16"/>
          <w:bottom w:val="single" w:color="1D4ED8" w:sz="4"/>
          <w:right w:val="single" w:color="1D4ED8" w:sz="4"/>
          <w:insideH w:val="single" w:color="auto" w:sz="4"/>
          <w:insideV w:val="single" w:color="auto" w:sz="4"/>
        </w:tblBorders>
      </w:tblPr>
      <w:tblGrid>
        <w:gridCol w:w="9026"/>
      </w:tblGrid>
      <w:tr>
        <w:tc>
          <w:tcPr>
            <w:tcW w:type="dxa" w:w="9026"/>
            <w:shd w:fill="0F172A" w:val="clear"/>
            <w:tcMar>
              <w:top w:type="dxa" w:w="160"/>
              <w:left w:type="dxa" w:w="240"/>
              <w:bottom w:type="dxa" w:w="160"/>
              <w:right w:type="dxa" w:w="240"/>
            </w:tcMar>
          </w:tcPr>
          <w:p>
            <w:pPr>
              <w:spacing w:after="40" w:before="0"/>
            </w:pPr>
            <w:r>
              <w:rPr>
                <w:rFonts w:ascii="Courier New" w:cs="Courier New" w:eastAsia="Courier New" w:hAnsi="Courier New"/>
                <w:b/>
                <w:bCs/>
                <w:color w:val="86EFAC"/>
                <w:sz w:val="18"/>
                <w:szCs w:val="18"/>
              </w:rPr>
              <w:t xml:space="preserve">h_frame  =  clr_bt  +  N_lev × h_lev  +  clr_tp</w:t>
            </w:r>
          </w:p>
          <w:p>
            <w:pPr>
              <w:spacing w:after="40" w:before="0"/>
            </w:pPr>
            <w:r>
              <w:rPr>
                <w:rFonts w:ascii="Courier New" w:cs="Courier New" w:eastAsia="Courier New" w:hAnsi="Courier New"/>
                <w:b w:val="false"/>
                <w:bCs w:val="false"/>
                <w:color w:val="E2E8F0"/>
                <w:sz w:val="18"/>
                <w:szCs w:val="18"/>
              </w:rPr>
              <w:t xml:space="preserve">         =  0.15  +  3 × 1.40  +  0.30</w:t>
            </w:r>
          </w:p>
          <w:p>
            <w:pPr>
              <w:spacing w:after="40" w:before="0"/>
            </w:pPr>
            <w:r>
              <w:rPr>
                <w:rFonts w:ascii="Courier New" w:cs="Courier New" w:eastAsia="Courier New" w:hAnsi="Courier New"/>
                <w:b w:val="false"/>
                <w:bCs w:val="false"/>
                <w:color w:val="86EFAC"/>
                <w:sz w:val="18"/>
                <w:szCs w:val="18"/>
              </w:rPr>
              <w:t xml:space="preserve">         =  0.15  +  4.20  +  0.30  =  4.65 m</w:t>
            </w:r>
          </w:p>
          <w:p>
            <w:pPr>
              <w:spacing w:after="40" w:before="0"/>
            </w:pPr>
            <w:r>
              <w:rPr>
                <w:rFonts w:ascii="Courier New" w:cs="Courier New" w:eastAsia="Courier New" w:hAnsi="Courier New"/>
                <w:b w:val="false"/>
                <w:bCs w:val="false"/>
                <w:color w:val="E2E8F0"/>
                <w:sz w:val="18"/>
                <w:szCs w:val="18"/>
              </w:rPr>
              <w:t xml:space="preserve"/>
            </w:r>
          </w:p>
          <w:p>
            <w:pPr>
              <w:spacing w:after="40" w:before="0"/>
            </w:pPr>
            <w:r>
              <w:rPr>
                <w:rFonts w:ascii="Courier New" w:cs="Courier New" w:eastAsia="Courier New" w:hAnsi="Courier New"/>
                <w:b w:val="false"/>
                <w:bCs w:val="false"/>
                <w:color w:val="86EFAC"/>
                <w:sz w:val="18"/>
                <w:szCs w:val="18"/>
              </w:rPr>
              <w:t xml:space="preserve">Verification:  h_frame (4.65 m) ≤ H_useful (6.00 m)  ✓</w:t>
            </w:r>
          </w:p>
        </w:tc>
      </w:tr>
    </w:tbl>
    <w:p>
      <w:pPr>
        <w:spacing w:after="140" w:before="0"/>
      </w:pPr>
      <w:r>
        <w:rPr>
          <w:rFonts w:ascii="Arial" w:cs="Arial" w:eastAsia="Arial" w:hAnsi="Arial"/>
          <w:sz w:val="22"/>
          <w:szCs w:val="22"/>
        </w:rPr>
        <w:t xml:space="preserve">If h_frame &gt; H_useful, the configuration is invalid. The tool will display a warning. To resolve: reduce pal_h, reduce clr_v, or accept fewer levels.</w:t>
      </w:r>
    </w:p>
    <w:p>
      <w:pPr>
        <w:spacing w:after="80" w:before="0"/>
      </w:pPr>
    </w:p>
    <w:p>
      <w:pPr>
        <w:pStyle w:val="Heading2"/>
        <w:spacing w:after="120" w:before="280"/>
      </w:pPr>
      <w:r>
        <w:rPr>
          <w:rFonts w:ascii="Arial" w:cs="Arial" w:eastAsia="Arial" w:hAnsi="Arial"/>
          <w:b/>
          <w:bCs/>
          <w:color w:val="1D4ED8"/>
          <w:sz w:val="26"/>
          <w:szCs w:val="26"/>
        </w:rPr>
        <w:t xml:space="preserve">4.5  Step 5 — Gross Capacity Conversion</w:t>
      </w:r>
    </w:p>
    <w:p>
      <w:pPr>
        <w:spacing w:after="140" w:before="0"/>
      </w:pPr>
      <w:r>
        <w:rPr>
          <w:rFonts w:ascii="Arial" w:cs="Arial" w:eastAsia="Arial" w:hAnsi="Arial"/>
          <w:sz w:val="22"/>
          <w:szCs w:val="22"/>
        </w:rPr>
        <w:t xml:space="preserve">Once S_fp and the rack geometry are known, the footprint is converted to a storage capacity in the appropriate unit for each storage type.</w:t>
      </w:r>
    </w:p>
    <w:p>
      <w:pPr>
        <w:spacing w:after="80" w:before="0"/>
      </w:pPr>
    </w:p>
    <w:p>
      <w:pPr>
        <w:pStyle w:val="Heading3"/>
        <w:spacing w:after="80" w:before="200"/>
      </w:pPr>
      <w:r>
        <w:rPr>
          <w:rFonts w:ascii="Arial" w:cs="Arial" w:eastAsia="Arial" w:hAnsi="Arial"/>
          <w:b/>
          <w:bCs/>
          <w:color w:val="374151"/>
          <w:sz w:val="22"/>
          <w:szCs w:val="22"/>
        </w:rPr>
        <w:t xml:space="preserve">Pallet racks</w:t>
      </w:r>
    </w:p>
    <w:tbl>
      <w:tblPr>
        <w:tblW w:type="dxa" w:w="9026"/>
        <w:tblBorders>
          <w:top w:val="single" w:color="1D4ED8" w:sz="4"/>
          <w:left w:val="single" w:color="1D4ED8" w:sz="16"/>
          <w:bottom w:val="single" w:color="1D4ED8" w:sz="4"/>
          <w:right w:val="single" w:color="1D4ED8" w:sz="4"/>
          <w:insideH w:val="single" w:color="auto" w:sz="4"/>
          <w:insideV w:val="single" w:color="auto" w:sz="4"/>
        </w:tblBorders>
      </w:tblPr>
      <w:tblGrid>
        <w:gridCol w:w="9026"/>
      </w:tblGrid>
      <w:tr>
        <w:tc>
          <w:tcPr>
            <w:tcW w:type="dxa" w:w="9026"/>
            <w:shd w:fill="0F172A" w:val="clear"/>
            <w:tcMar>
              <w:top w:type="dxa" w:w="160"/>
              <w:left w:type="dxa" w:w="240"/>
              <w:bottom w:type="dxa" w:w="160"/>
              <w:right w:type="dxa" w:w="240"/>
            </w:tcMar>
          </w:tcPr>
          <w:p>
            <w:pPr>
              <w:spacing w:after="40" w:before="0"/>
            </w:pPr>
            <w:r>
              <w:rPr>
                <w:rFonts w:ascii="Courier New" w:cs="Courier New" w:eastAsia="Courier New" w:hAnsi="Courier New"/>
                <w:b/>
                <w:bCs/>
                <w:color w:val="86EFAC"/>
                <w:sz w:val="18"/>
                <w:szCs w:val="18"/>
              </w:rPr>
              <w:t xml:space="preserve">N_pos  =  S_fp  /  a_pos  ×  N_lev</w:t>
            </w:r>
          </w:p>
          <w:p>
            <w:pPr>
              <w:spacing w:after="40" w:before="0"/>
            </w:pPr>
            <w:r>
              <w:rPr>
                <w:rFonts w:ascii="Courier New" w:cs="Courier New" w:eastAsia="Courier New" w:hAnsi="Courier New"/>
                <w:b w:val="false"/>
                <w:bCs w:val="false"/>
                <w:color w:val="E2E8F0"/>
                <w:sz w:val="18"/>
                <w:szCs w:val="18"/>
              </w:rPr>
              <w:t xml:space="preserve">       =  94.8  /  1.1925  ×  3</w:t>
            </w:r>
          </w:p>
          <w:p>
            <w:pPr>
              <w:spacing w:after="40" w:before="0"/>
            </w:pPr>
            <w:r>
              <w:rPr>
                <w:rFonts w:ascii="Courier New" w:cs="Courier New" w:eastAsia="Courier New" w:hAnsi="Courier New"/>
                <w:b w:val="false"/>
                <w:bCs w:val="false"/>
                <w:color w:val="86EFAC"/>
                <w:sz w:val="18"/>
                <w:szCs w:val="18"/>
              </w:rPr>
              <w:t xml:space="preserve">       =  79.5  ×  3  =  238.5  ≈  238 positions</w:t>
            </w:r>
          </w:p>
        </w:tc>
      </w:tr>
    </w:tbl>
    <w:p>
      <w:pPr>
        <w:spacing w:after="140" w:before="0"/>
      </w:pPr>
      <w:r>
        <w:rPr>
          <w:rFonts w:ascii="Arial" w:cs="Arial" w:eastAsia="Arial" w:hAnsi="Arial"/>
          <w:sz w:val="22"/>
          <w:szCs w:val="22"/>
        </w:rPr>
        <w:t xml:space="preserve">Logic: S_fp / a_pos gives the number of ground-level positions (equivalent positions if the rack were only 1 level high). Multiplying by N_lev gives the total positions across all levels.</w:t>
      </w:r>
    </w:p>
    <w:p>
      <w:pPr>
        <w:spacing w:after="80" w:before="0"/>
      </w:pPr>
    </w:p>
    <w:p>
      <w:pPr>
        <w:pStyle w:val="Heading3"/>
        <w:spacing w:after="80" w:before="200"/>
      </w:pPr>
      <w:r>
        <w:rPr>
          <w:rFonts w:ascii="Arial" w:cs="Arial" w:eastAsia="Arial" w:hAnsi="Arial"/>
          <w:b/>
          <w:bCs/>
          <w:color w:val="374151"/>
          <w:sz w:val="22"/>
          <w:szCs w:val="22"/>
        </w:rPr>
        <w:t xml:space="preserve">Shelving</w:t>
      </w:r>
    </w:p>
    <w:tbl>
      <w:tblPr>
        <w:tblW w:type="dxa" w:w="9026"/>
        <w:tblBorders>
          <w:top w:val="single" w:color="1D4ED8" w:sz="4"/>
          <w:left w:val="single" w:color="1D4ED8" w:sz="16"/>
          <w:bottom w:val="single" w:color="1D4ED8" w:sz="4"/>
          <w:right w:val="single" w:color="1D4ED8" w:sz="4"/>
          <w:insideH w:val="single" w:color="auto" w:sz="4"/>
          <w:insideV w:val="single" w:color="auto" w:sz="4"/>
        </w:tblBorders>
      </w:tblPr>
      <w:tblGrid>
        <w:gridCol w:w="9026"/>
      </w:tblGrid>
      <w:tr>
        <w:tc>
          <w:tcPr>
            <w:tcW w:type="dxa" w:w="9026"/>
            <w:shd w:fill="0F172A" w:val="clear"/>
            <w:tcMar>
              <w:top w:type="dxa" w:w="160"/>
              <w:left w:type="dxa" w:w="240"/>
              <w:bottom w:type="dxa" w:w="160"/>
              <w:right w:type="dxa" w:w="240"/>
            </w:tcMar>
          </w:tcPr>
          <w:p>
            <w:pPr>
              <w:spacing w:after="40" w:before="0"/>
            </w:pPr>
            <w:r>
              <w:rPr>
                <w:rFonts w:ascii="Courier New" w:cs="Courier New" w:eastAsia="Courier New" w:hAnsi="Courier New"/>
                <w:b/>
                <w:bCs/>
                <w:color w:val="86EFAC"/>
                <w:sz w:val="18"/>
                <w:szCs w:val="18"/>
              </w:rPr>
              <w:t xml:space="preserve">ML_ground  =  S_fp  /  she_D</w:t>
            </w:r>
          </w:p>
          <w:p>
            <w:pPr>
              <w:spacing w:after="40" w:before="0"/>
            </w:pPr>
            <w:r>
              <w:rPr>
                <w:rFonts w:ascii="Courier New" w:cs="Courier New" w:eastAsia="Courier New" w:hAnsi="Courier New"/>
                <w:b w:val="false"/>
                <w:bCs w:val="false"/>
                <w:color w:val="E2E8F0"/>
                <w:sz w:val="18"/>
                <w:szCs w:val="18"/>
              </w:rPr>
              <w:t xml:space="preserve">           =  70.2  /  0.50  =  140.4 m linear (ground)</w:t>
            </w:r>
          </w:p>
          <w:p>
            <w:pPr>
              <w:spacing w:after="40" w:before="0"/>
            </w:pPr>
            <w:r>
              <w:rPr>
                <w:rFonts w:ascii="Courier New" w:cs="Courier New" w:eastAsia="Courier New" w:hAnsi="Courier New"/>
                <w:b w:val="false"/>
                <w:bCs w:val="false"/>
                <w:color w:val="E2E8F0"/>
                <w:sz w:val="18"/>
                <w:szCs w:val="18"/>
              </w:rPr>
              <w:t xml:space="preserve"/>
            </w:r>
          </w:p>
          <w:p>
            <w:pPr>
              <w:spacing w:after="40" w:before="0"/>
            </w:pPr>
            <w:r>
              <w:rPr>
                <w:rFonts w:ascii="Courier New" w:cs="Courier New" w:eastAsia="Courier New" w:hAnsi="Courier New"/>
                <w:b w:val="false"/>
                <w:bCs w:val="false"/>
                <w:color w:val="64748B"/>
                <w:sz w:val="18"/>
                <w:szCs w:val="18"/>
              </w:rPr>
              <w:t xml:space="preserve">Why this works:  area = length × depth</w:t>
            </w:r>
          </w:p>
          <w:p>
            <w:pPr>
              <w:spacing w:after="40" w:before="0"/>
            </w:pPr>
            <w:r>
              <w:rPr>
                <w:rFonts w:ascii="Courier New" w:cs="Courier New" w:eastAsia="Courier New" w:hAnsi="Courier New"/>
                <w:b w:val="false"/>
                <w:bCs w:val="false"/>
                <w:color w:val="CBD5E1"/>
                <w:sz w:val="18"/>
                <w:szCs w:val="18"/>
              </w:rPr>
              <w:t xml:space="preserve">  → length  =  area / depth  =  S_fp / she_D</w:t>
            </w:r>
          </w:p>
          <w:p>
            <w:pPr>
              <w:spacing w:after="40" w:before="0"/>
            </w:pPr>
            <w:r>
              <w:rPr>
                <w:rFonts w:ascii="Courier New" w:cs="Courier New" w:eastAsia="Courier New" w:hAnsi="Courier New"/>
                <w:b w:val="false"/>
                <w:bCs w:val="false"/>
                <w:color w:val="E2E8F0"/>
                <w:sz w:val="18"/>
                <w:szCs w:val="18"/>
              </w:rPr>
              <w:t xml:space="preserve"/>
            </w:r>
          </w:p>
          <w:p>
            <w:pPr>
              <w:spacing w:after="40" w:before="0"/>
            </w:pPr>
            <w:r>
              <w:rPr>
                <w:rFonts w:ascii="Courier New" w:cs="Courier New" w:eastAsia="Courier New" w:hAnsi="Courier New"/>
                <w:b w:val="false"/>
                <w:bCs w:val="false"/>
                <w:color w:val="64748B"/>
                <w:sz w:val="18"/>
                <w:szCs w:val="18"/>
              </w:rPr>
              <w:t xml:space="preserve">Developed ML (informational):</w:t>
            </w:r>
          </w:p>
          <w:p>
            <w:pPr>
              <w:spacing w:after="40" w:before="0"/>
            </w:pPr>
            <w:r>
              <w:rPr>
                <w:rFonts w:ascii="Courier New" w:cs="Courier New" w:eastAsia="Courier New" w:hAnsi="Courier New"/>
                <w:b w:val="false"/>
                <w:bCs w:val="false"/>
                <w:color w:val="CBD5E1"/>
                <w:sz w:val="18"/>
                <w:szCs w:val="18"/>
              </w:rPr>
              <w:t xml:space="preserve">ML_dev  =  ML_ground  ×  she_lv  =  140.4  ×  6  =  842.4 m</w:t>
            </w:r>
          </w:p>
        </w:tc>
      </w:tr>
    </w:tbl>
    <w:p>
      <w:pPr>
        <w:spacing w:after="140" w:before="0"/>
      </w:pPr>
      <w:r>
        <w:rPr>
          <w:rFonts w:ascii="Arial" w:cs="Arial" w:eastAsia="Arial" w:hAnsi="Arial"/>
          <w:b/>
          <w:bCs/>
          <w:color w:val="000000"/>
          <w:sz w:val="22"/>
          <w:szCs w:val="22"/>
        </w:rPr>
        <w:t xml:space="preserve">ML_ground </w:t>
      </w:r>
      <w:r>
        <w:rPr>
          <w:rFonts w:ascii="Arial" w:cs="Arial" w:eastAsia="Arial" w:hAnsi="Arial"/>
          <w:sz w:val="22"/>
          <w:szCs w:val="22"/>
        </w:rPr>
        <w:t xml:space="preserve">is the total length of shelving runs measured at floor level. It is the main output for procurement.</w:t>
      </w:r>
    </w:p>
    <w:p>
      <w:pPr>
        <w:spacing w:after="140" w:before="0"/>
      </w:pPr>
      <w:r>
        <w:rPr>
          <w:rFonts w:ascii="Arial" w:cs="Arial" w:eastAsia="Arial" w:hAnsi="Arial"/>
          <w:b/>
          <w:bCs/>
          <w:color w:val="000000"/>
          <w:sz w:val="22"/>
          <w:szCs w:val="22"/>
        </w:rPr>
        <w:t xml:space="preserve">ML_dev </w:t>
      </w:r>
      <w:r>
        <w:rPr>
          <w:rFonts w:ascii="Arial" w:cs="Arial" w:eastAsia="Arial" w:hAnsi="Arial"/>
          <w:sz w:val="22"/>
          <w:szCs w:val="22"/>
        </w:rPr>
        <w:t xml:space="preserve">(developed ML) multiplies by the number of shelf levels to give the total linear shelf face across all levels. It is informational — useful for estimating the total picking face available.</w:t>
      </w:r>
    </w:p>
    <w:p>
      <w:pPr>
        <w:spacing w:after="80" w:before="0"/>
      </w:pPr>
    </w:p>
    <w:p>
      <w:pPr>
        <w:pStyle w:val="Heading3"/>
        <w:spacing w:after="80" w:before="200"/>
      </w:pPr>
      <w:r>
        <w:rPr>
          <w:rFonts w:ascii="Arial" w:cs="Arial" w:eastAsia="Arial" w:hAnsi="Arial"/>
          <w:b/>
          <w:bCs/>
          <w:color w:val="374151"/>
          <w:sz w:val="22"/>
          <w:szCs w:val="22"/>
        </w:rPr>
        <w:t xml:space="preserve">Cantilever</w:t>
      </w:r>
    </w:p>
    <w:tbl>
      <w:tblPr>
        <w:tblW w:type="dxa" w:w="9026"/>
        <w:tblBorders>
          <w:top w:val="single" w:color="1D4ED8" w:sz="4"/>
          <w:left w:val="single" w:color="1D4ED8" w:sz="16"/>
          <w:bottom w:val="single" w:color="1D4ED8" w:sz="4"/>
          <w:right w:val="single" w:color="1D4ED8" w:sz="4"/>
          <w:insideH w:val="single" w:color="auto" w:sz="4"/>
          <w:insideV w:val="single" w:color="auto" w:sz="4"/>
        </w:tblBorders>
      </w:tblPr>
      <w:tblGrid>
        <w:gridCol w:w="9026"/>
      </w:tblGrid>
      <w:tr>
        <w:tc>
          <w:tcPr>
            <w:tcW w:type="dxa" w:w="9026"/>
            <w:shd w:fill="0F172A" w:val="clear"/>
            <w:tcMar>
              <w:top w:type="dxa" w:w="160"/>
              <w:left w:type="dxa" w:w="240"/>
              <w:bottom w:type="dxa" w:w="160"/>
              <w:right w:type="dxa" w:w="240"/>
            </w:tcMar>
          </w:tcPr>
          <w:p>
            <w:pPr>
              <w:spacing w:after="40" w:before="0"/>
            </w:pPr>
            <w:r>
              <w:rPr>
                <w:rFonts w:ascii="Courier New" w:cs="Courier New" w:eastAsia="Courier New" w:hAnsi="Courier New"/>
                <w:b/>
                <w:bCs/>
                <w:color w:val="86EFAC"/>
                <w:sz w:val="18"/>
                <w:szCs w:val="18"/>
              </w:rPr>
              <w:t xml:space="preserve">ML  =  S_fp  /  (2 × can_a)</w:t>
            </w:r>
          </w:p>
          <w:p>
            <w:pPr>
              <w:spacing w:after="40" w:before="0"/>
            </w:pPr>
            <w:r>
              <w:rPr>
                <w:rFonts w:ascii="Courier New" w:cs="Courier New" w:eastAsia="Courier New" w:hAnsi="Courier New"/>
                <w:b w:val="false"/>
                <w:bCs w:val="false"/>
                <w:color w:val="E2E8F0"/>
                <w:sz w:val="18"/>
                <w:szCs w:val="18"/>
              </w:rPr>
              <w:t xml:space="preserve">    =  12.3  /  (2 × 0.80)  =  12.3 / 1.60  =  7.7 m linear</w:t>
            </w:r>
          </w:p>
        </w:tc>
      </w:tr>
    </w:tbl>
    <w:p>
      <w:pPr>
        <w:spacing w:after="140" w:before="0"/>
      </w:pPr>
      <w:r>
        <w:rPr>
          <w:rFonts w:ascii="Arial" w:cs="Arial" w:eastAsia="Arial" w:hAnsi="Arial"/>
          <w:sz w:val="22"/>
          <w:szCs w:val="22"/>
        </w:rPr>
        <w:t xml:space="preserve">The denominator 2 × can_a is the effective depth of a double-sided cantilever rack: arms project on both sides of the central column, so the total structure depth is twice the arm length. This is used as the unit depth for the area-to-ML conversion.</w:t>
      </w:r>
    </w:p>
    <w:p>
      <w:pPr>
        <w:spacing w:after="80" w:before="0"/>
      </w:pPr>
    </w:p>
    <w:p>
      <w:pPr>
        <w:pStyle w:val="Heading3"/>
        <w:spacing w:after="80" w:before="200"/>
      </w:pPr>
      <w:r>
        <w:rPr>
          <w:rFonts w:ascii="Arial" w:cs="Arial" w:eastAsia="Arial" w:hAnsi="Arial"/>
          <w:b/>
          <w:bCs/>
          <w:color w:val="374151"/>
          <w:sz w:val="22"/>
          <w:szCs w:val="22"/>
        </w:rPr>
        <w:t xml:space="preserve">Floor storage</w:t>
      </w:r>
    </w:p>
    <w:tbl>
      <w:tblPr>
        <w:tblW w:type="dxa" w:w="9026"/>
        <w:tblBorders>
          <w:top w:val="single" w:color="1D4ED8" w:sz="4"/>
          <w:left w:val="single" w:color="1D4ED8" w:sz="16"/>
          <w:bottom w:val="single" w:color="1D4ED8" w:sz="4"/>
          <w:right w:val="single" w:color="1D4ED8" w:sz="4"/>
          <w:insideH w:val="single" w:color="auto" w:sz="4"/>
          <w:insideV w:val="single" w:color="auto" w:sz="4"/>
        </w:tblBorders>
      </w:tblPr>
      <w:tblGrid>
        <w:gridCol w:w="9026"/>
      </w:tblGrid>
      <w:tr>
        <w:tc>
          <w:tcPr>
            <w:tcW w:type="dxa" w:w="9026"/>
            <w:shd w:fill="0F172A" w:val="clear"/>
            <w:tcMar>
              <w:top w:type="dxa" w:w="160"/>
              <w:left w:type="dxa" w:w="240"/>
              <w:bottom w:type="dxa" w:w="160"/>
              <w:right w:type="dxa" w:w="240"/>
            </w:tcMar>
          </w:tcPr>
          <w:p>
            <w:pPr>
              <w:spacing w:after="40" w:before="0"/>
            </w:pPr>
            <w:r>
              <w:rPr>
                <w:rFonts w:ascii="Courier New" w:cs="Courier New" w:eastAsia="Courier New" w:hAnsi="Courier New"/>
                <w:b/>
                <w:bCs/>
                <w:color w:val="86EFAC"/>
                <w:sz w:val="18"/>
                <w:szCs w:val="18"/>
              </w:rPr>
              <w:t xml:space="preserve">N_places  =  S_fp  /  (flo_W × flo_D)</w:t>
            </w:r>
          </w:p>
          <w:p>
            <w:pPr>
              <w:spacing w:after="40" w:before="0"/>
            </w:pPr>
            <w:r>
              <w:rPr>
                <w:rFonts w:ascii="Courier New" w:cs="Courier New" w:eastAsia="Courier New" w:hAnsi="Courier New"/>
                <w:b w:val="false"/>
                <w:bCs w:val="false"/>
                <w:color w:val="E2E8F0"/>
                <w:sz w:val="18"/>
                <w:szCs w:val="18"/>
              </w:rPr>
              <w:t xml:space="preserve">          =  45.6  /  (2.00 × 2.00)  =  45.6 / 4.00  =  11.4 places</w:t>
            </w:r>
          </w:p>
        </w:tc>
      </w:tr>
    </w:tbl>
    <w:p>
      <w:pPr>
        <w:spacing w:after="140" w:before="0"/>
      </w:pPr>
      <w:r>
        <w:rPr>
          <w:rFonts w:ascii="Arial" w:cs="Arial" w:eastAsia="Arial" w:hAnsi="Arial"/>
          <w:sz w:val="22"/>
          <w:szCs w:val="22"/>
        </w:rPr>
        <w:t xml:space="preserve">The result is the number of standard demarcated floor places that fit in the footprint. In practice, round up to the nearest integer when planning the floor marking layout.</w:t>
      </w:r>
    </w:p>
    <w:p>
      <w:pPr>
        <w:spacing w:after="80" w:before="0"/>
      </w:pPr>
    </w:p>
    <w:p>
      <w:pPr>
        <w:pStyle w:val="Heading3"/>
        <w:spacing w:after="80" w:before="200"/>
      </w:pPr>
      <w:r>
        <w:rPr>
          <w:rFonts w:ascii="Arial" w:cs="Arial" w:eastAsia="Arial" w:hAnsi="Arial"/>
          <w:b/>
          <w:bCs/>
          <w:color w:val="374151"/>
          <w:sz w:val="22"/>
          <w:szCs w:val="22"/>
        </w:rPr>
        <w:t xml:space="preserve">Dedicated area and Repairables</w:t>
      </w:r>
    </w:p>
    <w:tbl>
      <w:tblPr>
        <w:tblW w:type="dxa" w:w="9026"/>
        <w:tblBorders>
          <w:top w:val="single" w:color="1D4ED8" w:sz="4"/>
          <w:left w:val="single" w:color="1D4ED8" w:sz="16"/>
          <w:bottom w:val="single" w:color="1D4ED8" w:sz="4"/>
          <w:right w:val="single" w:color="1D4ED8" w:sz="4"/>
          <w:insideH w:val="single" w:color="auto" w:sz="4"/>
          <w:insideV w:val="single" w:color="auto" w:sz="4"/>
        </w:tblBorders>
      </w:tblPr>
      <w:tblGrid>
        <w:gridCol w:w="9026"/>
      </w:tblGrid>
      <w:tr>
        <w:tc>
          <w:tcPr>
            <w:tcW w:type="dxa" w:w="9026"/>
            <w:shd w:fill="0F172A" w:val="clear"/>
            <w:tcMar>
              <w:top w:type="dxa" w:w="160"/>
              <w:left w:type="dxa" w:w="240"/>
              <w:bottom w:type="dxa" w:w="160"/>
              <w:right w:type="dxa" w:w="240"/>
            </w:tcMar>
          </w:tcPr>
          <w:p>
            <w:pPr>
              <w:spacing w:after="40" w:before="0"/>
            </w:pPr>
            <w:r>
              <w:rPr>
                <w:rFonts w:ascii="Courier New" w:cs="Courier New" w:eastAsia="Courier New" w:hAnsi="Courier New"/>
                <w:b/>
                <w:bCs/>
                <w:color w:val="86EFAC"/>
                <w:sz w:val="18"/>
                <w:szCs w:val="18"/>
              </w:rPr>
              <w:t xml:space="preserve">Area  =  S_fp  (m²)   ← no unit conversion</w:t>
            </w:r>
          </w:p>
        </w:tc>
      </w:tr>
    </w:tbl>
    <w:p>
      <w:pPr>
        <w:spacing w:after="140" w:before="0"/>
      </w:pPr>
      <w:r>
        <w:rPr>
          <w:rFonts w:ascii="Arial" w:cs="Arial" w:eastAsia="Arial" w:hAnsi="Arial"/>
          <w:sz w:val="22"/>
          <w:szCs w:val="22"/>
        </w:rPr>
        <w:t xml:space="preserve">These two types output a raw area in m² rather than a specific capacity unit. For dedicated areas, the m² is the zone to be reserved and partitioned according to EHS requirements. For repairables, it is a proxy area that must be manually sub-divided once the rotable pool is defined.</w:t>
      </w:r>
    </w:p>
    <w:p>
      <w:pPr>
        <w:spacing w:after="80" w:before="0"/>
      </w:pPr>
    </w:p>
    <w:p>
      <w:pPr>
        <w:pStyle w:val="Heading2"/>
        <w:spacing w:after="120" w:before="280"/>
      </w:pPr>
      <w:r>
        <w:rPr>
          <w:rFonts w:ascii="Arial" w:cs="Arial" w:eastAsia="Arial" w:hAnsi="Arial"/>
          <w:b/>
          <w:bCs/>
          <w:color w:val="1D4ED8"/>
          <w:sz w:val="26"/>
          <w:szCs w:val="26"/>
        </w:rPr>
        <w:t xml:space="preserve">4.6  Step 6 — Recommended Installed Capacity</w:t>
      </w:r>
    </w:p>
    <w:p>
      <w:pPr>
        <w:spacing w:after="140" w:before="0"/>
      </w:pPr>
      <w:r>
        <w:rPr>
          <w:rFonts w:ascii="Arial" w:cs="Arial" w:eastAsia="Arial" w:hAnsi="Arial"/>
          <w:sz w:val="22"/>
          <w:szCs w:val="22"/>
        </w:rPr>
        <w:t xml:space="preserve">The gross capacity is multiplied by the growth margin and rounded up to the nearest practical unit.</w:t>
      </w:r>
    </w:p>
    <w:tbl>
      <w:tblPr>
        <w:tblW w:type="dxa" w:w="9026"/>
        <w:tblBorders>
          <w:top w:val="single" w:color="1D4ED8" w:sz="4"/>
          <w:left w:val="single" w:color="1D4ED8" w:sz="16"/>
          <w:bottom w:val="single" w:color="1D4ED8" w:sz="4"/>
          <w:right w:val="single" w:color="1D4ED8" w:sz="4"/>
          <w:insideH w:val="single" w:color="auto" w:sz="4"/>
          <w:insideV w:val="single" w:color="auto" w:sz="4"/>
        </w:tblBorders>
      </w:tblPr>
      <w:tblGrid>
        <w:gridCol w:w="9026"/>
      </w:tblGrid>
      <w:tr>
        <w:tc>
          <w:tcPr>
            <w:tcW w:type="dxa" w:w="9026"/>
            <w:shd w:fill="0F172A" w:val="clear"/>
            <w:tcMar>
              <w:top w:type="dxa" w:w="160"/>
              <w:left w:type="dxa" w:w="240"/>
              <w:bottom w:type="dxa" w:w="160"/>
              <w:right w:type="dxa" w:w="240"/>
            </w:tcMar>
          </w:tcPr>
          <w:p>
            <w:pPr>
              <w:spacing w:after="40" w:before="0"/>
            </w:pPr>
            <w:r>
              <w:rPr>
                <w:rFonts w:ascii="Courier New" w:cs="Courier New" w:eastAsia="Courier New" w:hAnsi="Courier New"/>
                <w:b/>
                <w:bCs/>
                <w:color w:val="86EFAC"/>
                <w:sz w:val="18"/>
                <w:szCs w:val="18"/>
              </w:rPr>
              <w:t xml:space="preserve">Rec. installed  =  CEILING( gross_capacity × (1 + k_gr),  granularity )</w:t>
            </w:r>
          </w:p>
          <w:p>
            <w:pPr>
              <w:spacing w:after="40" w:before="0"/>
            </w:pPr>
            <w:r>
              <w:rPr>
                <w:rFonts w:ascii="Courier New" w:cs="Courier New" w:eastAsia="Courier New" w:hAnsi="Courier New"/>
                <w:b w:val="false"/>
                <w:bCs w:val="false"/>
                <w:color w:val="E2E8F0"/>
                <w:sz w:val="18"/>
                <w:szCs w:val="18"/>
              </w:rPr>
              <w:t xml:space="preserve"/>
            </w:r>
          </w:p>
          <w:p>
            <w:pPr>
              <w:spacing w:after="40" w:before="0"/>
            </w:pPr>
            <w:r>
              <w:rPr>
                <w:rFonts w:ascii="Courier New" w:cs="Courier New" w:eastAsia="Courier New" w:hAnsi="Courier New"/>
                <w:b w:val="false"/>
                <w:bCs w:val="false"/>
                <w:color w:val="64748B"/>
                <w:sz w:val="18"/>
                <w:szCs w:val="18"/>
              </w:rPr>
              <w:t xml:space="preserve">Granularity rules:</w:t>
            </w:r>
          </w:p>
          <w:p>
            <w:pPr>
              <w:spacing w:after="40" w:before="0"/>
            </w:pPr>
            <w:r>
              <w:rPr>
                <w:rFonts w:ascii="Courier New" w:cs="Courier New" w:eastAsia="Courier New" w:hAnsi="Courier New"/>
                <w:b w:val="false"/>
                <w:bCs w:val="false"/>
                <w:color w:val="E2E8F0"/>
                <w:sz w:val="18"/>
                <w:szCs w:val="18"/>
              </w:rPr>
              <w:t xml:space="preserve">  Pallet positions, floor places :  granularity = 1   (integer)</w:t>
            </w:r>
          </w:p>
          <w:p>
            <w:pPr>
              <w:spacing w:after="40" w:before="0"/>
            </w:pPr>
            <w:r>
              <w:rPr>
                <w:rFonts w:ascii="Courier New" w:cs="Courier New" w:eastAsia="Courier New" w:hAnsi="Courier New"/>
                <w:b w:val="false"/>
                <w:bCs w:val="false"/>
                <w:color w:val="E2E8F0"/>
                <w:sz w:val="18"/>
                <w:szCs w:val="18"/>
              </w:rPr>
              <w:t xml:space="preserve">  Shelving ML, cantilever ML     :  granularity = 0.5 (nearest half-metre)</w:t>
            </w:r>
          </w:p>
          <w:p>
            <w:pPr>
              <w:spacing w:after="40" w:before="0"/>
            </w:pPr>
            <w:r>
              <w:rPr>
                <w:rFonts w:ascii="Courier New" w:cs="Courier New" w:eastAsia="Courier New" w:hAnsi="Courier New"/>
                <w:b w:val="false"/>
                <w:bCs w:val="false"/>
                <w:color w:val="E2E8F0"/>
                <w:sz w:val="18"/>
                <w:szCs w:val="18"/>
              </w:rPr>
              <w:t xml:space="preserve">  Dedicated / repairables m²     :  granularity = 1   (integer)</w:t>
            </w:r>
          </w:p>
          <w:p>
            <w:pPr>
              <w:spacing w:after="40" w:before="0"/>
            </w:pPr>
            <w:r>
              <w:rPr>
                <w:rFonts w:ascii="Courier New" w:cs="Courier New" w:eastAsia="Courier New" w:hAnsi="Courier New"/>
                <w:b w:val="false"/>
                <w:bCs w:val="false"/>
                <w:color w:val="E2E8F0"/>
                <w:sz w:val="18"/>
                <w:szCs w:val="18"/>
              </w:rPr>
              <w:t xml:space="preserve"/>
            </w:r>
          </w:p>
          <w:p>
            <w:pPr>
              <w:spacing w:after="40" w:before="0"/>
            </w:pPr>
            <w:r>
              <w:rPr>
                <w:rFonts w:ascii="Courier New" w:cs="Courier New" w:eastAsia="Courier New" w:hAnsi="Courier New"/>
                <w:b w:val="false"/>
                <w:bCs w:val="false"/>
                <w:color w:val="64748B"/>
                <w:sz w:val="18"/>
                <w:szCs w:val="18"/>
              </w:rPr>
              <w:t xml:space="preserve">Example — Pallet racks:</w:t>
            </w:r>
          </w:p>
          <w:p>
            <w:pPr>
              <w:spacing w:after="40" w:before="0"/>
            </w:pPr>
            <w:r>
              <w:rPr>
                <w:rFonts w:ascii="Courier New" w:cs="Courier New" w:eastAsia="Courier New" w:hAnsi="Courier New"/>
                <w:b w:val="false"/>
                <w:bCs w:val="false"/>
                <w:color w:val="E2E8F0"/>
                <w:sz w:val="18"/>
                <w:szCs w:val="18"/>
              </w:rPr>
              <w:t xml:space="preserve">  gross   =  238 positions</w:t>
            </w:r>
          </w:p>
          <w:p>
            <w:pPr>
              <w:spacing w:after="40" w:before="0"/>
            </w:pPr>
            <w:r>
              <w:rPr>
                <w:rFonts w:ascii="Courier New" w:cs="Courier New" w:eastAsia="Courier New" w:hAnsi="Courier New"/>
                <w:b w:val="false"/>
                <w:bCs w:val="false"/>
                <w:color w:val="FCD34D"/>
                <w:sz w:val="18"/>
                <w:szCs w:val="18"/>
              </w:rPr>
              <w:t xml:space="preserve">  k_gr    =  10%  (0.10)</w:t>
            </w:r>
          </w:p>
          <w:p>
            <w:pPr>
              <w:spacing w:after="40" w:before="0"/>
            </w:pPr>
            <w:r>
              <w:rPr>
                <w:rFonts w:ascii="Courier New" w:cs="Courier New" w:eastAsia="Courier New" w:hAnsi="Courier New"/>
                <w:b w:val="false"/>
                <w:bCs w:val="false"/>
                <w:color w:val="E2E8F0"/>
                <w:sz w:val="18"/>
                <w:szCs w:val="18"/>
              </w:rPr>
              <w:t xml:space="preserve">  238 × 1.10  =  261.8</w:t>
            </w:r>
          </w:p>
          <w:p>
            <w:pPr>
              <w:spacing w:after="40" w:before="0"/>
            </w:pPr>
            <w:r>
              <w:rPr>
                <w:rFonts w:ascii="Courier New" w:cs="Courier New" w:eastAsia="Courier New" w:hAnsi="Courier New"/>
                <w:b w:val="false"/>
                <w:bCs w:val="false"/>
                <w:color w:val="86EFAC"/>
                <w:sz w:val="18"/>
                <w:szCs w:val="18"/>
              </w:rPr>
              <w:t xml:space="preserve">  CEILING(261.8, 1)  =  262 positions ← recommended installed</w:t>
            </w:r>
          </w:p>
          <w:p>
            <w:pPr>
              <w:spacing w:after="40" w:before="0"/>
            </w:pPr>
            <w:r>
              <w:rPr>
                <w:rFonts w:ascii="Courier New" w:cs="Courier New" w:eastAsia="Courier New" w:hAnsi="Courier New"/>
                <w:b w:val="false"/>
                <w:bCs w:val="false"/>
                <w:color w:val="E2E8F0"/>
                <w:sz w:val="18"/>
                <w:szCs w:val="18"/>
              </w:rPr>
              <w:t xml:space="preserve"/>
            </w:r>
          </w:p>
          <w:p>
            <w:pPr>
              <w:spacing w:after="40" w:before="0"/>
            </w:pPr>
            <w:r>
              <w:rPr>
                <w:rFonts w:ascii="Courier New" w:cs="Courier New" w:eastAsia="Courier New" w:hAnsi="Courier New"/>
                <w:b w:val="false"/>
                <w:bCs w:val="false"/>
                <w:color w:val="64748B"/>
                <w:sz w:val="18"/>
                <w:szCs w:val="18"/>
              </w:rPr>
              <w:t xml:space="preserve">Example — Shelving:</w:t>
            </w:r>
          </w:p>
          <w:p>
            <w:pPr>
              <w:spacing w:after="40" w:before="0"/>
            </w:pPr>
            <w:r>
              <w:rPr>
                <w:rFonts w:ascii="Courier New" w:cs="Courier New" w:eastAsia="Courier New" w:hAnsi="Courier New"/>
                <w:b w:val="false"/>
                <w:bCs w:val="false"/>
                <w:color w:val="E2E8F0"/>
                <w:sz w:val="18"/>
                <w:szCs w:val="18"/>
              </w:rPr>
              <w:t xml:space="preserve">  ML_ground rec  =  140.4 × 1.10  =  154.4 ML</w:t>
            </w:r>
          </w:p>
          <w:p>
            <w:pPr>
              <w:spacing w:after="40" w:before="0"/>
            </w:pPr>
            <w:r>
              <w:rPr>
                <w:rFonts w:ascii="Courier New" w:cs="Courier New" w:eastAsia="Courier New" w:hAnsi="Courier New"/>
                <w:b w:val="false"/>
                <w:bCs w:val="false"/>
                <w:color w:val="86EFAC"/>
                <w:sz w:val="18"/>
                <w:szCs w:val="18"/>
              </w:rPr>
              <w:t xml:space="preserve">  CEILING(154.4, 0.5)  =  154.5 ML ← rounded to nearest 0.5 m</w:t>
            </w:r>
          </w:p>
        </w:tc>
      </w:tr>
    </w:tbl>
    <w:p>
      <w:pPr>
        <w:spacing w:after="140" w:before="0"/>
      </w:pPr>
      <w:r>
        <w:rPr>
          <w:rFonts w:ascii="Arial" w:cs="Arial" w:eastAsia="Arial" w:hAnsi="Arial"/>
          <w:b/>
          <w:bCs/>
          <w:color w:val="000000"/>
          <w:sz w:val="22"/>
          <w:szCs w:val="22"/>
        </w:rPr>
        <w:t xml:space="preserve">Why CEILING and not ROUND? </w:t>
      </w:r>
      <w:r>
        <w:rPr>
          <w:rFonts w:ascii="Arial" w:cs="Arial" w:eastAsia="Arial" w:hAnsi="Arial"/>
          <w:sz w:val="22"/>
          <w:szCs w:val="22"/>
        </w:rPr>
        <w:t xml:space="preserve">We always round up, never down. Rounding down would under-size the installation. A half-metre extra of shelving or one extra pallet bay costs little at procurement but avoids a costly retrofit later.</w:t>
      </w:r>
    </w:p>
    <w:p>
      <w:pPr>
        <w:spacing w:after="140" w:before="0"/>
      </w:pPr>
      <w:r>
        <w:rPr>
          <w:rFonts w:ascii="Arial" w:cs="Arial" w:eastAsia="Arial" w:hAnsi="Arial"/>
          <w:b/>
          <w:bCs/>
          <w:color w:val="000000"/>
          <w:sz w:val="22"/>
          <w:szCs w:val="22"/>
        </w:rPr>
        <w:t xml:space="preserve">Why 0.5 m granularity for ML? </w:t>
      </w:r>
      <w:r>
        <w:rPr>
          <w:rFonts w:ascii="Arial" w:cs="Arial" w:eastAsia="Arial" w:hAnsi="Arial"/>
          <w:sz w:val="22"/>
          <w:szCs w:val="22"/>
        </w:rPr>
        <w:t xml:space="preserve">Because shelving and cantilever modules are manufactured in fixed lengths (e.g. 1.00 m or 1.20 m). A half-metre is a meaningful planning unit — it corresponds to a fraction of a module, not an arbitrary decimal.</w:t>
      </w:r>
    </w:p>
    <w:p>
      <w:pPr>
        <w:spacing w:after="80" w:before="0"/>
      </w:pPr>
    </w:p>
    <w:p>
      <w:pPr>
        <w:pStyle w:val="Heading2"/>
        <w:spacing w:after="120" w:before="280"/>
      </w:pPr>
      <w:r>
        <w:rPr>
          <w:rFonts w:ascii="Arial" w:cs="Arial" w:eastAsia="Arial" w:hAnsi="Arial"/>
          <w:b/>
          <w:bCs/>
          <w:color w:val="1D4ED8"/>
          <w:sz w:val="26"/>
          <w:szCs w:val="26"/>
        </w:rPr>
        <w:t xml:space="preserve">4.7  Complete worked example — Palletized family</w:t>
      </w:r>
    </w:p>
    <w:p>
      <w:pPr>
        <w:spacing w:after="140" w:before="0"/>
      </w:pPr>
      <w:r>
        <w:rPr>
          <w:rFonts w:ascii="Arial" w:cs="Arial" w:eastAsia="Arial" w:hAnsi="Arial"/>
          <w:sz w:val="22"/>
          <w:szCs w:val="22"/>
        </w:rPr>
        <w:t xml:space="preserve">This example traces the full calculation chain for the palletized family with default Metro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pPr>
              <w:spacing w:after="0" w:before="0"/>
            </w:pPr>
            <w:r>
              <w:rPr>
                <w:rFonts w:ascii="Arial" w:cs="Arial" w:eastAsia="Arial" w:hAnsi="Arial"/>
                <w:b/>
                <w:bCs/>
                <w:color w:val="1D4ED8"/>
                <w:sz w:val="22"/>
                <w:szCs w:val="22"/>
              </w:rPr>
              <w:t xml:space="preserve">📐  Full chain — Palletized family (30% share, Metro defaults)</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Given inputs:</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S_workshop = 6 000 m²    k_store = 18%    k_nostor = 35%</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share_pallet = 30%       eff_pal = 0.45</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pal_w = 1.20 m   pal_d = 0.80 m   pal_h = 1.20 m</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clr_s = 0.075 m  clr_b = 0.10 m   clr_d = 0.10 m</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clr_v = 0.20 m   clr_bt = 0.15 m  clr_tp = 0.30 m</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H_useful = 6.00 m        k_gr = 10%</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Step 1 — Net storage area:</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S_gross    = 6 000 × 0.18 = 1 080 m²</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S_nostor   = 1 080 × 0.35 = 378 m²</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S_net      = 1 080 − 378  = 702 m²</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Step 2 — Raw zone:</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S_raw_pal  = 702 × 0.30 = 210.6 m²</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Step 3 — Equipment footprint:</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S_fp_pal   = 210.6 × 0.45 = 94.8 m²</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(Aisles    = 210.6 × 0.55 = 115.8 m²)</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Step 4 — Rack geometry:</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bay_W      = 2×1.20 + 2×0.075 + 0.10 = 2.65 m</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bay_D      = 0.80 + 0.10 = 0.90 m</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a_pos      = 2.65 × 0.90 / 2 = 1.1925 m²/pos</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h_lev      = 1.20 + 0.20 = 1.40 m</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N_lev      = INT((6.00−0.15−0.30)/1.40) = INT(3.964) = 3</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h_frame    = 0.15 + 3×1.40 + 0.30 = 4.65 m  ≤ 6.00 m  ✓</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Step 5 — Gross capacity:</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N_pos      = 94.8 / 1.1925 × 3 = 238 positions</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Step 6 — Recommended installed:</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Rec.       = CEILING(238 × 1.10, 1) = CEILING(261.8, 1) = 262 positions</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Arial" w:cs="Arial" w:eastAsia="Arial" w:hAnsi="Arial"/>
                <w:sz w:val="20"/>
                <w:szCs w:val="20"/>
              </w:rPr>
              <w:t xml:space="preserve">Business reading:</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Allocating 210.6 m² (30% of S_net) to the pallet family,</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after accounting for forklift aisles, the rack footprint is 94.8 m².</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With 3 levels in a 6 m building, this gives 238 pallet positions gross.</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With 10% growth margin: install 262 pallet positions.</w:t>
            </w:r>
          </w:p>
        </w:tc>
      </w:tr>
      <w:tr>
        <w:tc>
          <w:tcPr>
            <w:tcW w:type="dxa" w:w="9026"/>
            <w:tcBorders>
              <w:top w:val="single" w:color="CCCCCC" w:sz="1"/>
              <w:left w:val="single" w:color="CCCCCC" w:sz="1"/>
              <w:bottom w:val="single" w:color="CCCCCC" w:sz="1"/>
              <w:right w:val="single" w:color="CCCCCC" w:sz="1"/>
            </w:tcBorders>
            <w:shd w:fill="F8FAFC" w:val="clear"/>
            <w:tcMar>
              <w:top w:type="dxa" w:w="60"/>
              <w:left w:type="dxa" w:w="160"/>
              <w:bottom w:type="dxa" w:w="60"/>
              <w:right w:type="dxa" w:w="160"/>
            </w:tcMar>
          </w:tcPr>
          <w:p>
            <w:pPr>
              <w:spacing w:after="60" w:before="0"/>
            </w:pPr>
            <w:r>
              <w:rPr>
                <w:rFonts w:ascii="Courier New" w:cs="Courier New" w:eastAsia="Courier New" w:hAnsi="Courier New"/>
                <w:sz w:val="20"/>
                <w:szCs w:val="20"/>
              </w:rPr>
              <w:t xml:space="preserve">  This requires 262 ÷ (2 pos/bay × 3 levels) = 44 bays.</w:t>
            </w:r>
          </w:p>
        </w:tc>
      </w:tr>
    </w:tbl>
    <w:p>
      <w:pPr>
        <w:spacing w:after="0" w:before="0"/>
      </w:pPr>
      <w:r>
        <w:br w:type="page"/>
      </w:r>
    </w:p>
    <w:p>
      <w:pPr>
        <w:pStyle w:val="Heading1"/>
        <w:pBdr>
          <w:bottom w:val="single" w:color="1D4ED8" w:sz="8" w:space="4"/>
        </w:pBdr>
        <w:spacing w:after="200" w:before="360"/>
      </w:pPr>
      <w:r>
        <w:rPr>
          <w:rFonts w:ascii="Arial" w:cs="Arial" w:eastAsia="Arial" w:hAnsi="Arial"/>
          <w:b/>
          <w:bCs/>
          <w:color w:val="1F3864"/>
          <w:sz w:val="32"/>
          <w:szCs w:val="32"/>
        </w:rPr>
        <w:t xml:space="preserve">Chapter 5 — Results Tab</w:t>
      </w:r>
    </w:p>
    <w:p>
      <w:pPr>
        <w:spacing w:after="140" w:before="0"/>
      </w:pPr>
      <w:r>
        <w:rPr>
          <w:rFonts w:ascii="Arial" w:cs="Arial" w:eastAsia="Arial" w:hAnsi="Arial"/>
          <w:sz w:val="22"/>
          <w:szCs w:val="22"/>
        </w:rPr>
        <w:t xml:space="preserve">The Results tab is read-only. It presents the outputs of the calculation chain in three panels: KPI cards, the capacity table, and the synthesis summary. All values update instantly when Inputs or Assumptions change.</w:t>
      </w:r>
    </w:p>
    <w:p>
      <w:pPr>
        <w:spacing w:after="80" w:before="0"/>
      </w:pPr>
    </w:p>
    <w:p>
      <w:pPr>
        <w:pStyle w:val="Heading2"/>
        <w:spacing w:after="120" w:before="280"/>
      </w:pPr>
      <w:r>
        <w:rPr>
          <w:rFonts w:ascii="Arial" w:cs="Arial" w:eastAsia="Arial" w:hAnsi="Arial"/>
          <w:b/>
          <w:bCs/>
          <w:color w:val="1D4ED8"/>
          <w:sz w:val="26"/>
          <w:szCs w:val="26"/>
        </w:rPr>
        <w:t xml:space="preserve">5.1  KPI Cards</w:t>
      </w:r>
    </w:p>
    <w:p>
      <w:pPr>
        <w:spacing w:after="140" w:before="0"/>
      </w:pPr>
      <w:r>
        <w:rPr>
          <w:rFonts w:ascii="Arial" w:cs="Arial" w:eastAsia="Arial" w:hAnsi="Arial"/>
          <w:sz w:val="22"/>
          <w:szCs w:val="22"/>
        </w:rPr>
        <w:t xml:space="preserve">Four headline figures are shown at the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KPI</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Formula</w:t>
            </w:r>
          </w:p>
        </w:tc>
        <w:tc>
          <w:tcPr>
            <w:tcW w:type="dxa" w:w="46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What it tells you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Store gross surface
(S_gross)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S_workshop × k_store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The total floor area of the store before deducting non-storage functions. This is the area that needs to be partitioned and fitted out.</w:t>
            </w:r>
          </w:p>
        </w:tc>
      </w:tr>
      <w:tr>
        <w:tc>
          <w:tcPr>
            <w:tcW w:type="dxa" w:w="2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Net storage area
(S_net)</w:t>
            </w:r>
          </w:p>
        </w:tc>
        <w:tc>
          <w:tcPr>
            <w:tcW w:type="dxa" w:w="24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S_gross − S_nostor</w:t>
            </w:r>
          </w:p>
        </w:tc>
        <w:tc>
          <w:tcPr>
            <w:tcW w:type="dxa" w:w="46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The area actually available for racks and equipment. This is the most important single number — all family capacities derive from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Pallet rack levels
(N_lev)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INT((H_useful−clr_bt−clr_tp)/h_lev)</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The number of levels the model has calculated fits in the building height. Shown alongside h_frame as a quick sanity check.</w:t>
            </w:r>
          </w:p>
        </w:tc>
      </w:tr>
      <w:tr>
        <w:tc>
          <w:tcPr>
            <w:tcW w:type="dxa" w:w="2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Useful height
(H_useful)</w:t>
            </w:r>
          </w:p>
        </w:tc>
        <w:tc>
          <w:tcPr>
            <w:tcW w:type="dxa" w:w="24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From Inputs</w:t>
            </w:r>
          </w:p>
        </w:tc>
        <w:tc>
          <w:tcPr>
            <w:tcW w:type="dxa" w:w="46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Reference value — shown to allow immediate comparison with h_frame.</w:t>
            </w:r>
          </w:p>
        </w:tc>
      </w:tr>
    </w:tbl>
    <w:p>
      <w:pPr>
        <w:spacing w:after="80" w:before="0"/>
      </w:pPr>
    </w:p>
    <w:p>
      <w:pPr>
        <w:pStyle w:val="Heading2"/>
        <w:spacing w:after="120" w:before="280"/>
      </w:pPr>
      <w:r>
        <w:rPr>
          <w:rFonts w:ascii="Arial" w:cs="Arial" w:eastAsia="Arial" w:hAnsi="Arial"/>
          <w:b/>
          <w:bCs/>
          <w:color w:val="1D4ED8"/>
          <w:sz w:val="26"/>
          <w:szCs w:val="26"/>
        </w:rPr>
        <w:t xml:space="preserve">5.2  Capacity Table</w:t>
      </w:r>
    </w:p>
    <w:p>
      <w:pPr>
        <w:spacing w:after="140" w:before="0"/>
      </w:pPr>
      <w:r>
        <w:rPr>
          <w:rFonts w:ascii="Arial" w:cs="Arial" w:eastAsia="Arial" w:hAnsi="Arial"/>
          <w:sz w:val="22"/>
          <w:szCs w:val="22"/>
        </w:rPr>
        <w:t xml:space="preserve">This table shows, for each of the eight families:</w:t>
      </w:r>
    </w:p>
    <w:p>
      <w:pPr>
        <w:pStyle w:val="ListParagraph"/>
        <w:numPr>
          <w:ilvl w:val="0"/>
          <w:numId w:val="2"/>
        </w:numPr>
        <w:spacing w:after="80" w:before="0"/>
        <w:ind w:left="720" w:hanging="360"/>
      </w:pPr>
      <w:r>
        <w:rPr>
          <w:rFonts w:ascii="Arial" w:cs="Arial" w:eastAsia="Arial" w:hAnsi="Arial"/>
          <w:sz w:val="20"/>
          <w:szCs w:val="20"/>
        </w:rPr>
        <w:t xml:space="preserve">Share %: the family's share of S_net.</w:t>
      </w:r>
    </w:p>
    <w:p>
      <w:pPr>
        <w:pStyle w:val="ListParagraph"/>
        <w:numPr>
          <w:ilvl w:val="0"/>
          <w:numId w:val="2"/>
        </w:numPr>
        <w:spacing w:after="80" w:before="0"/>
        <w:ind w:left="720" w:hanging="360"/>
      </w:pPr>
      <w:r>
        <w:rPr>
          <w:rFonts w:ascii="Arial" w:cs="Arial" w:eastAsia="Arial" w:hAnsi="Arial"/>
          <w:sz w:val="20"/>
          <w:szCs w:val="20"/>
        </w:rPr>
        <w:t xml:space="preserve">S_raw: raw zone area in m².</w:t>
      </w:r>
    </w:p>
    <w:p>
      <w:pPr>
        <w:pStyle w:val="ListParagraph"/>
        <w:numPr>
          <w:ilvl w:val="0"/>
          <w:numId w:val="2"/>
        </w:numPr>
        <w:spacing w:after="80" w:before="0"/>
        <w:ind w:left="720" w:hanging="360"/>
      </w:pPr>
      <w:r>
        <w:rPr>
          <w:rFonts w:ascii="Arial" w:cs="Arial" w:eastAsia="Arial" w:hAnsi="Arial"/>
          <w:sz w:val="20"/>
          <w:szCs w:val="20"/>
        </w:rPr>
        <w:t xml:space="preserve">Eff: the efficiency factor applied.</w:t>
      </w:r>
    </w:p>
    <w:p>
      <w:pPr>
        <w:pStyle w:val="ListParagraph"/>
        <w:numPr>
          <w:ilvl w:val="0"/>
          <w:numId w:val="2"/>
        </w:numPr>
        <w:spacing w:after="80" w:before="0"/>
        <w:ind w:left="720" w:hanging="360"/>
      </w:pPr>
      <w:r>
        <w:rPr>
          <w:rFonts w:ascii="Arial" w:cs="Arial" w:eastAsia="Arial" w:hAnsi="Arial"/>
          <w:sz w:val="20"/>
          <w:szCs w:val="20"/>
        </w:rPr>
        <w:t xml:space="preserve">S_fp: equipment footprint in m².</w:t>
      </w:r>
    </w:p>
    <w:p>
      <w:pPr>
        <w:pStyle w:val="ListParagraph"/>
        <w:numPr>
          <w:ilvl w:val="0"/>
          <w:numId w:val="2"/>
        </w:numPr>
        <w:spacing w:after="80" w:before="0"/>
        <w:ind w:left="720" w:hanging="360"/>
      </w:pPr>
      <w:r>
        <w:rPr>
          <w:rFonts w:ascii="Arial" w:cs="Arial" w:eastAsia="Arial" w:hAnsi="Arial"/>
          <w:sz w:val="20"/>
          <w:szCs w:val="20"/>
        </w:rPr>
        <w:t xml:space="preserve">Gross capacity: the unrounded capacity derived from S_fp.</w:t>
      </w:r>
    </w:p>
    <w:p>
      <w:pPr>
        <w:pStyle w:val="ListParagraph"/>
        <w:numPr>
          <w:ilvl w:val="0"/>
          <w:numId w:val="2"/>
        </w:numPr>
        <w:spacing w:after="80" w:before="0"/>
        <w:ind w:left="720" w:hanging="360"/>
      </w:pPr>
      <w:r>
        <w:rPr>
          <w:rFonts w:ascii="Arial" w:cs="Arial" w:eastAsia="Arial" w:hAnsi="Arial"/>
          <w:sz w:val="20"/>
          <w:szCs w:val="20"/>
        </w:rPr>
        <w:t xml:space="preserve">Rec. installed: the recommended installed capacity after growth margin and CEILING rounding. This is the procurement planning number.</w:t>
      </w:r>
    </w:p>
    <w:p>
      <w:pPr>
        <w:pStyle w:val="ListParagraph"/>
        <w:numPr>
          <w:ilvl w:val="0"/>
          <w:numId w:val="2"/>
        </w:numPr>
        <w:spacing w:after="80" w:before="0"/>
        <w:ind w:left="720" w:hanging="360"/>
      </w:pPr>
      <w:r>
        <w:rPr>
          <w:rFonts w:ascii="Arial" w:cs="Arial" w:eastAsia="Arial" w:hAnsi="Arial"/>
          <w:sz w:val="20"/>
          <w:szCs w:val="20"/>
        </w:rPr>
        <w:t xml:space="preserve">Unit: the unit appropriate for the storage type (positions, m lin., places, m²).</w:t>
      </w:r>
    </w:p>
    <w:p>
      <w:pPr>
        <w:spacing w:after="80" w:before="0"/>
      </w:pPr>
    </w:p>
    <w:tbl>
      <w:tblPr>
        <w:tblW w:type="dxa" w:w="9026"/>
        <w:tblBorders>
          <w:top w:val="none"/>
          <w:left w:val="single" w:color="374151" w:sz="16"/>
          <w:bottom w:val="none"/>
          <w:right w:val="none"/>
          <w:insideH w:val="single" w:color="auto" w:sz="4"/>
          <w:insideV w:val="single" w:color="auto" w:sz="4"/>
        </w:tblBorders>
      </w:tblPr>
      <w:tblGrid>
        <w:gridCol w:w="9026"/>
      </w:tblGrid>
      <w:tr>
        <w:tc>
          <w:tcPr>
            <w:tcW w:type="dxa" w:w="9026"/>
            <w:shd w:fill="F1F5F9" w:val="clear"/>
            <w:tcMar>
              <w:top w:type="dxa" w:w="100"/>
              <w:left w:type="dxa" w:w="200"/>
              <w:bottom w:type="dxa" w:w="100"/>
              <w:right w:type="dxa" w:w="160"/>
            </w:tcMar>
          </w:tcPr>
          <w:p>
            <w:pPr>
              <w:spacing w:after="0" w:before="0"/>
            </w:pPr>
            <w:r>
              <w:rPr>
                <w:rFonts w:ascii="Arial" w:cs="Arial" w:eastAsia="Arial" w:hAnsi="Arial"/>
                <w:i/>
                <w:iCs/>
                <w:color w:val="374151"/>
                <w:sz w:val="20"/>
                <w:szCs w:val="20"/>
              </w:rPr>
              <w:t xml:space="preserve">The "Rec. installed" column is the primary output for preliminary procurement specifications. The "Gross capacity" column is informational — it shows the unrounded calculated need before the growth margin.</w:t>
            </w:r>
          </w:p>
        </w:tc>
      </w:tr>
    </w:tbl>
    <w:p>
      <w:pPr>
        <w:spacing w:after="80" w:before="0"/>
      </w:pPr>
    </w:p>
    <w:p>
      <w:pPr>
        <w:pStyle w:val="Heading2"/>
        <w:spacing w:after="120" w:before="280"/>
      </w:pPr>
      <w:r>
        <w:rPr>
          <w:rFonts w:ascii="Arial" w:cs="Arial" w:eastAsia="Arial" w:hAnsi="Arial"/>
          <w:b/>
          <w:bCs/>
          <w:color w:val="1D4ED8"/>
          <w:sz w:val="26"/>
          <w:szCs w:val="26"/>
        </w:rPr>
        <w:t xml:space="preserve">5.3  Synthesis Summary</w:t>
      </w:r>
    </w:p>
    <w:p>
      <w:pPr>
        <w:spacing w:after="140" w:before="0"/>
      </w:pPr>
      <w:r>
        <w:rPr>
          <w:rFonts w:ascii="Arial" w:cs="Arial" w:eastAsia="Arial" w:hAnsi="Arial"/>
          <w:sz w:val="22"/>
          <w:szCs w:val="22"/>
        </w:rPr>
        <w:t xml:space="preserve">Six synthesis cards aggregate the family-level outputs into equipment-level totals: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Card</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Aggregation</w:t>
            </w:r>
          </w:p>
        </w:tc>
        <w:tc>
          <w:tcPr>
            <w:tcW w:type="dxa" w:w="42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Derived figures also shown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Pallet positions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Palletized family rec. installed positions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Number of bays = positions ÷ (pal_bay × N_lev)
Façade estimate = bays × bay_W</w:t>
            </w:r>
          </w:p>
        </w:tc>
      </w:tr>
      <w:tr>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Shelving — ground ML</w:t>
            </w:r>
          </w:p>
        </w:tc>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Sum of Small parts + Medium parts + Tools
family recommended ML</w:t>
            </w:r>
          </w:p>
        </w:tc>
        <w:tc>
          <w:tcPr>
            <w:tcW w:type="dxa" w:w="4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Module count = ML ÷ she_L
Developed ML = ML × she_lv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Cantilever — 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Long parts family rec. ML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Bay count = ML ÷ can_bL</w:t>
            </w:r>
          </w:p>
        </w:tc>
      </w:tr>
      <w:tr>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Floor places</w:t>
            </w:r>
          </w:p>
        </w:tc>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Heavy/irregular family rec. places</w:t>
            </w:r>
          </w:p>
        </w:tc>
        <w:tc>
          <w:tcPr>
            <w:tcW w:type="dxa" w:w="4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Total area = places × flo_W × flo_D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Dedicated area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Sensitive/regulated family rec. m²</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Zone to sub-divide by EHS hazard class</w:t>
            </w:r>
          </w:p>
        </w:tc>
      </w:tr>
      <w:tr>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Repairables zone</w:t>
            </w:r>
          </w:p>
        </w:tc>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Repairables family rec. m²</w:t>
            </w:r>
          </w:p>
        </w:tc>
        <w:tc>
          <w:tcPr>
            <w:tcW w:type="dxa" w:w="4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To be manually sub-divided into pallet + floor sub-zones</w:t>
            </w:r>
          </w:p>
        </w:tc>
      </w:tr>
    </w:tbl>
    <w:p>
      <w:pPr>
        <w:spacing w:after="80" w:before="0"/>
      </w:pPr>
    </w:p>
    <w:p>
      <w:pPr>
        <w:pStyle w:val="Heading2"/>
        <w:spacing w:after="120" w:before="280"/>
      </w:pPr>
      <w:r>
        <w:rPr>
          <w:rFonts w:ascii="Arial" w:cs="Arial" w:eastAsia="Arial" w:hAnsi="Arial"/>
          <w:b/>
          <w:bCs/>
          <w:color w:val="1D4ED8"/>
          <w:sz w:val="26"/>
          <w:szCs w:val="26"/>
        </w:rPr>
        <w:t xml:space="preserve">5.4  Rack Geometry Panel</w:t>
      </w:r>
    </w:p>
    <w:p>
      <w:pPr>
        <w:spacing w:after="140" w:before="0"/>
      </w:pPr>
      <w:r>
        <w:rPr>
          <w:rFonts w:ascii="Arial" w:cs="Arial" w:eastAsia="Arial" w:hAnsi="Arial"/>
          <w:sz w:val="22"/>
          <w:szCs w:val="22"/>
        </w:rPr>
        <w:t xml:space="preserve">Below the synthesis cards, six read-only fields show the auto-computed rack geometry:</w:t>
      </w:r>
    </w:p>
    <w:p>
      <w:pPr>
        <w:pStyle w:val="ListParagraph"/>
        <w:numPr>
          <w:ilvl w:val="0"/>
          <w:numId w:val="2"/>
        </w:numPr>
        <w:spacing w:after="80" w:before="0"/>
        <w:ind w:left="720" w:hanging="360"/>
      </w:pPr>
      <w:r>
        <w:rPr>
          <w:rFonts w:ascii="Arial" w:cs="Arial" w:eastAsia="Arial" w:hAnsi="Arial"/>
          <w:sz w:val="20"/>
          <w:szCs w:val="20"/>
        </w:rPr>
        <w:t xml:space="preserve">bay_W: total bay width (m) — use this for layout planning.</w:t>
      </w:r>
    </w:p>
    <w:p>
      <w:pPr>
        <w:pStyle w:val="ListParagraph"/>
        <w:numPr>
          <w:ilvl w:val="0"/>
          <w:numId w:val="2"/>
        </w:numPr>
        <w:spacing w:after="80" w:before="0"/>
        <w:ind w:left="720" w:hanging="360"/>
      </w:pPr>
      <w:r>
        <w:rPr>
          <w:rFonts w:ascii="Arial" w:cs="Arial" w:eastAsia="Arial" w:hAnsi="Arial"/>
          <w:sz w:val="20"/>
          <w:szCs w:val="20"/>
        </w:rPr>
        <w:t xml:space="preserve">bay_D: rack depth (m) — use this for layout planning.</w:t>
      </w:r>
    </w:p>
    <w:p>
      <w:pPr>
        <w:pStyle w:val="ListParagraph"/>
        <w:numPr>
          <w:ilvl w:val="0"/>
          <w:numId w:val="2"/>
        </w:numPr>
        <w:spacing w:after="80" w:before="0"/>
        <w:ind w:left="720" w:hanging="360"/>
      </w:pPr>
      <w:r>
        <w:rPr>
          <w:rFonts w:ascii="Arial" w:cs="Arial" w:eastAsia="Arial" w:hAnsi="Arial"/>
          <w:sz w:val="20"/>
          <w:szCs w:val="20"/>
        </w:rPr>
        <w:t xml:space="preserve">a_pos: footprint per pallet position (m²/pos) — the divisor in the capacity formula.</w:t>
      </w:r>
    </w:p>
    <w:p>
      <w:pPr>
        <w:pStyle w:val="ListParagraph"/>
        <w:numPr>
          <w:ilvl w:val="0"/>
          <w:numId w:val="2"/>
        </w:numPr>
        <w:spacing w:after="80" w:before="0"/>
        <w:ind w:left="720" w:hanging="360"/>
      </w:pPr>
      <w:r>
        <w:rPr>
          <w:rFonts w:ascii="Arial" w:cs="Arial" w:eastAsia="Arial" w:hAnsi="Arial"/>
          <w:sz w:val="20"/>
          <w:szCs w:val="20"/>
        </w:rPr>
        <w:t xml:space="preserve">h_lev: height per level (m) — the vertical pitch between beams.</w:t>
      </w:r>
    </w:p>
    <w:p>
      <w:pPr>
        <w:pStyle w:val="ListParagraph"/>
        <w:numPr>
          <w:ilvl w:val="0"/>
          <w:numId w:val="2"/>
        </w:numPr>
        <w:spacing w:after="80" w:before="0"/>
        <w:ind w:left="720" w:hanging="360"/>
      </w:pPr>
      <w:r>
        <w:rPr>
          <w:rFonts w:ascii="Arial" w:cs="Arial" w:eastAsia="Arial" w:hAnsi="Arial"/>
          <w:sz w:val="20"/>
          <w:szCs w:val="20"/>
        </w:rPr>
        <w:t xml:space="preserve">h_frame: total rack frame height (m) — must be ≤ H_useful.</w:t>
      </w:r>
    </w:p>
    <w:p>
      <w:pPr>
        <w:pStyle w:val="ListParagraph"/>
        <w:numPr>
          <w:ilvl w:val="0"/>
          <w:numId w:val="2"/>
        </w:numPr>
        <w:spacing w:after="80" w:before="0"/>
        <w:ind w:left="720" w:hanging="360"/>
      </w:pPr>
      <w:r>
        <w:rPr>
          <w:rFonts w:ascii="Arial" w:cs="Arial" w:eastAsia="Arial" w:hAnsi="Arial"/>
          <w:sz w:val="20"/>
          <w:szCs w:val="20"/>
        </w:rPr>
        <w:t xml:space="preserve">N_lev: number of storage levels — the multiplier in the pallet capacity formula.</w:t>
      </w:r>
    </w:p>
    <w:p>
      <w:pPr>
        <w:spacing w:after="140" w:before="0"/>
      </w:pPr>
      <w:r>
        <w:rPr>
          <w:rFonts w:ascii="Arial" w:cs="Arial" w:eastAsia="Arial" w:hAnsi="Arial"/>
          <w:sz w:val="22"/>
          <w:szCs w:val="22"/>
        </w:rPr>
        <w:t xml:space="preserve">If h_frame exceeds H_useful, a red warning appears. To resolve, go to Assumptions and reduce pal_h, clr_v, or clr_tp.</w:t>
      </w:r>
    </w:p>
    <w:p>
      <w:pPr>
        <w:spacing w:after="0" w:before="0"/>
      </w:pPr>
      <w:r>
        <w:br w:type="page"/>
      </w:r>
    </w:p>
    <w:p>
      <w:pPr>
        <w:pStyle w:val="Heading1"/>
        <w:pBdr>
          <w:bottom w:val="single" w:color="1D4ED8" w:sz="8" w:space="4"/>
        </w:pBdr>
        <w:spacing w:after="200" w:before="360"/>
      </w:pPr>
      <w:r>
        <w:rPr>
          <w:rFonts w:ascii="Arial" w:cs="Arial" w:eastAsia="Arial" w:hAnsi="Arial"/>
          <w:b/>
          <w:bCs/>
          <w:color w:val="1F3864"/>
          <w:sz w:val="32"/>
          <w:szCs w:val="32"/>
        </w:rPr>
        <w:t xml:space="preserve">Chapter 6 — Layout 2D Tab</w:t>
      </w:r>
    </w:p>
    <w:p>
      <w:pPr>
        <w:spacing w:after="140" w:before="0"/>
      </w:pPr>
      <w:r>
        <w:rPr>
          <w:rFonts w:ascii="Arial" w:cs="Arial" w:eastAsia="Arial" w:hAnsi="Arial"/>
          <w:sz w:val="22"/>
          <w:szCs w:val="22"/>
        </w:rPr>
        <w:t xml:space="preserve">The Layout 2D tab provides an interactive floor plan of the store at scale. It allows the user to visualise the relative sizes of the storage zones and test different spatial arrangements.</w:t>
      </w:r>
    </w:p>
    <w:p>
      <w:pPr>
        <w:spacing w:after="80" w:before="0"/>
      </w:pPr>
    </w:p>
    <w:p>
      <w:pPr>
        <w:pStyle w:val="Heading2"/>
        <w:spacing w:after="120" w:before="280"/>
      </w:pPr>
      <w:r>
        <w:rPr>
          <w:rFonts w:ascii="Arial" w:cs="Arial" w:eastAsia="Arial" w:hAnsi="Arial"/>
          <w:b/>
          <w:bCs/>
          <w:color w:val="1D4ED8"/>
          <w:sz w:val="26"/>
          <w:szCs w:val="26"/>
        </w:rPr>
        <w:t xml:space="preserve">6.1  How the layout is generated</w:t>
      </w:r>
    </w:p>
    <w:p>
      <w:pPr>
        <w:spacing w:after="140" w:before="0"/>
      </w:pPr>
      <w:r>
        <w:rPr>
          <w:rFonts w:ascii="Arial" w:cs="Arial" w:eastAsia="Arial" w:hAnsi="Arial"/>
          <w:sz w:val="22"/>
          <w:szCs w:val="22"/>
        </w:rPr>
        <w:t xml:space="preserve">When the Layout 2D tab is opened (or when "Reset zones" is clicked), the tool:</w:t>
      </w:r>
    </w:p>
    <w:p>
      <w:pPr>
        <w:pStyle w:val="ListParagraph"/>
        <w:numPr>
          <w:ilvl w:val="0"/>
          <w:numId w:val="3"/>
        </w:numPr>
        <w:spacing w:after="100" w:before="0"/>
        <w:ind w:left="720" w:hanging="360"/>
      </w:pPr>
      <w:r>
        <w:rPr>
          <w:rFonts w:ascii="Arial" w:cs="Arial" w:eastAsia="Arial" w:hAnsi="Arial"/>
          <w:sz w:val="20"/>
          <w:szCs w:val="20"/>
        </w:rPr>
        <w:t xml:space="preserve">Calculates the building depth automatically: bldg_H = S_gross / bldg_W.</w:t>
      </w:r>
    </w:p>
    <w:p>
      <w:pPr>
        <w:pStyle w:val="ListParagraph"/>
        <w:numPr>
          <w:ilvl w:val="0"/>
          <w:numId w:val="3"/>
        </w:numPr>
        <w:spacing w:after="100" w:before="0"/>
        <w:ind w:left="720" w:hanging="360"/>
      </w:pPr>
      <w:r>
        <w:rPr>
          <w:rFonts w:ascii="Arial" w:cs="Arial" w:eastAsia="Arial" w:hAnsi="Arial"/>
          <w:sz w:val="20"/>
          <w:szCs w:val="20"/>
        </w:rPr>
        <w:t xml:space="preserve">Creates a non-storage zone at the top of the plan (proportional to S_nostor).</w:t>
      </w:r>
    </w:p>
    <w:p>
      <w:pPr>
        <w:pStyle w:val="ListParagraph"/>
        <w:numPr>
          <w:ilvl w:val="0"/>
          <w:numId w:val="3"/>
        </w:numPr>
        <w:spacing w:after="100" w:before="0"/>
        <w:ind w:left="720" w:hanging="360"/>
      </w:pPr>
      <w:r>
        <w:rPr>
          <w:rFonts w:ascii="Arial" w:cs="Arial" w:eastAsia="Arial" w:hAnsi="Arial"/>
          <w:sz w:val="20"/>
          <w:szCs w:val="20"/>
        </w:rPr>
        <w:t xml:space="preserve">Places the six storage type zones side by side in the remaining area, each sized proportional to its total S_raw (sum of all families of that type).</w:t>
      </w:r>
    </w:p>
    <w:p>
      <w:pPr>
        <w:pStyle w:val="ListParagraph"/>
        <w:numPr>
          <w:ilvl w:val="0"/>
          <w:numId w:val="3"/>
        </w:numPr>
        <w:spacing w:after="100" w:before="0"/>
        <w:ind w:left="720" w:hanging="360"/>
      </w:pPr>
      <w:r>
        <w:rPr>
          <w:rFonts w:ascii="Arial" w:cs="Arial" w:eastAsia="Arial" w:hAnsi="Arial"/>
          <w:sz w:val="20"/>
          <w:szCs w:val="20"/>
        </w:rPr>
        <w:t xml:space="preserve">Draws the building outline and a reference grid (1 m thin / 5 m bold).</w:t>
      </w:r>
    </w:p>
    <w:p>
      <w:pPr>
        <w:spacing w:after="140" w:before="0"/>
      </w:pPr>
      <w:r>
        <w:rPr>
          <w:rFonts w:ascii="Arial" w:cs="Arial" w:eastAsia="Arial" w:hAnsi="Arial"/>
          <w:sz w:val="22"/>
          <w:szCs w:val="22"/>
        </w:rPr>
        <w:t xml:space="preserve">Each zone is colour-coded by storage type (same colours as the rest of the tool) and labelled with its dimensions and area.</w:t>
      </w:r>
    </w:p>
    <w:p>
      <w:pPr>
        <w:spacing w:after="80" w:before="0"/>
      </w:pPr>
    </w:p>
    <w:p>
      <w:pPr>
        <w:pStyle w:val="Heading2"/>
        <w:spacing w:after="120" w:before="280"/>
      </w:pPr>
      <w:r>
        <w:rPr>
          <w:rFonts w:ascii="Arial" w:cs="Arial" w:eastAsia="Arial" w:hAnsi="Arial"/>
          <w:b/>
          <w:bCs/>
          <w:color w:val="1D4ED8"/>
          <w:sz w:val="26"/>
          <w:szCs w:val="26"/>
        </w:rPr>
        <w:t xml:space="preserve">6.2  Adjusting the building width</w:t>
      </w:r>
    </w:p>
    <w:p>
      <w:pPr>
        <w:spacing w:after="140" w:before="0"/>
      </w:pPr>
      <w:r>
        <w:rPr>
          <w:rFonts w:ascii="Arial" w:cs="Arial" w:eastAsia="Arial" w:hAnsi="Arial"/>
          <w:sz w:val="22"/>
          <w:szCs w:val="22"/>
        </w:rPr>
        <w:t xml:space="preserve">The "Store width (m)" field controls the assumed width of the store building. Changing it recalculates bldg_H and rescales the SVG. Use this to test different building proportions. The default of 36 m gives a roughly rectangular plan for a 702 m² store (36 × 30 m).</w:t>
      </w:r>
    </w:p>
    <w:p>
      <w:pPr>
        <w:spacing w:after="80" w:before="0"/>
      </w:pPr>
    </w:p>
    <w:p>
      <w:pPr>
        <w:pStyle w:val="Heading2"/>
        <w:spacing w:after="120" w:before="280"/>
      </w:pPr>
      <w:r>
        <w:rPr>
          <w:rFonts w:ascii="Arial" w:cs="Arial" w:eastAsia="Arial" w:hAnsi="Arial"/>
          <w:b/>
          <w:bCs/>
          <w:color w:val="1D4ED8"/>
          <w:sz w:val="26"/>
          <w:szCs w:val="26"/>
        </w:rPr>
        <w:t xml:space="preserve">6.3  Interacting with zones</w:t>
      </w:r>
    </w:p>
    <w:p>
      <w:pPr>
        <w:spacing w:after="140" w:before="0"/>
      </w:pPr>
      <w:r>
        <w:rPr>
          <w:rFonts w:ascii="Arial" w:cs="Arial" w:eastAsia="Arial" w:hAnsi="Arial"/>
          <w:b/>
          <w:bCs/>
          <w:color w:val="000000"/>
          <w:sz w:val="22"/>
          <w:szCs w:val="22"/>
        </w:rPr>
        <w:t xml:space="preserve">Dragging zones: </w:t>
      </w:r>
      <w:r>
        <w:rPr>
          <w:rFonts w:ascii="Arial" w:cs="Arial" w:eastAsia="Arial" w:hAnsi="Arial"/>
          <w:sz w:val="22"/>
          <w:szCs w:val="22"/>
        </w:rPr>
        <w:t xml:space="preserve">click and hold on a zone, then drag it to any position within the building outline. Zones snap to a 0.5 m grid. This allows you to test different zone arrangements (e.g. placing the dedicated area in a corner, or grouping pallet racks together on one side).</w:t>
      </w:r>
    </w:p>
    <w:p>
      <w:pPr>
        <w:spacing w:after="140" w:before="0"/>
      </w:pPr>
      <w:r>
        <w:rPr>
          <w:rFonts w:ascii="Arial" w:cs="Arial" w:eastAsia="Arial" w:hAnsi="Arial"/>
          <w:b/>
          <w:bCs/>
          <w:color w:val="000000"/>
          <w:sz w:val="22"/>
          <w:szCs w:val="22"/>
        </w:rPr>
        <w:t xml:space="preserve">Resizing zones: </w:t>
      </w:r>
      <w:r>
        <w:rPr>
          <w:rFonts w:ascii="Arial" w:cs="Arial" w:eastAsia="Arial" w:hAnsi="Arial"/>
          <w:sz w:val="22"/>
          <w:szCs w:val="22"/>
        </w:rPr>
        <w:t xml:space="preserve">each moveable zone has a small dark handle in its bottom-right corner. Click and drag this handle to change the zone dimensions. Width and height snap to the 0.5 m grid. The zone area label updates in real time.</w:t>
      </w:r>
    </w:p>
    <w:p>
      <w:pPr>
        <w:spacing w:after="140" w:before="0"/>
      </w:pPr>
      <w:r>
        <w:rPr>
          <w:rFonts w:ascii="Arial" w:cs="Arial" w:eastAsia="Arial" w:hAnsi="Arial"/>
          <w:b/>
          <w:bCs/>
          <w:color w:val="000000"/>
          <w:sz w:val="22"/>
          <w:szCs w:val="22"/>
        </w:rPr>
        <w:t xml:space="preserve">Resetting: </w:t>
      </w:r>
      <w:r>
        <w:rPr>
          <w:rFonts w:ascii="Arial" w:cs="Arial" w:eastAsia="Arial" w:hAnsi="Arial"/>
          <w:sz w:val="22"/>
          <w:szCs w:val="22"/>
        </w:rPr>
        <w:t xml:space="preserve">click "Reset zones" to return all zones to their automatically calculated positions and sizes.</w:t>
      </w:r>
    </w:p>
    <w:p>
      <w:pPr>
        <w:spacing w:after="80" w:before="0"/>
      </w:pPr>
    </w:p>
    <w:tbl>
      <w:tblPr>
        <w:tblW w:type="dxa" w:w="9026"/>
        <w:tblBorders>
          <w:top w:val="none"/>
          <w:left w:val="single" w:color="B45309" w:sz="16"/>
          <w:bottom w:val="none"/>
          <w:right w:val="none"/>
          <w:insideH w:val="single" w:color="auto" w:sz="4"/>
          <w:insideV w:val="single" w:color="auto" w:sz="4"/>
        </w:tblBorders>
      </w:tblPr>
      <w:tblGrid>
        <w:gridCol w:w="9026"/>
      </w:tblGrid>
      <w:tr>
        <w:tc>
          <w:tcPr>
            <w:tcW w:type="dxa" w:w="9026"/>
            <w:shd w:fill="FEF3C7" w:val="clear"/>
            <w:tcMar>
              <w:top w:type="dxa" w:w="100"/>
              <w:left w:type="dxa" w:w="200"/>
              <w:bottom w:type="dxa" w:w="100"/>
              <w:right w:type="dxa" w:w="160"/>
            </w:tcMar>
          </w:tcPr>
          <w:p>
            <w:pPr>
              <w:spacing w:after="0" w:before="0"/>
            </w:pPr>
            <w:r>
              <w:rPr>
                <w:rFonts w:ascii="Arial" w:cs="Arial" w:eastAsia="Arial" w:hAnsi="Arial"/>
                <w:i/>
                <w:iCs/>
                <w:color w:val="B45309"/>
                <w:sz w:val="20"/>
                <w:szCs w:val="20"/>
              </w:rPr>
              <w:t xml:space="preserve">The layout is schematic and indicative. It does not account for building columns, structural walls, fire exits, or MEP routes. Use it for zone proportion studies only. A detailed layout must be validated in AutoCAD or Revit against the actual building drawings.</w:t>
            </w:r>
          </w:p>
        </w:tc>
      </w:tr>
    </w:tbl>
    <w:p>
      <w:pPr>
        <w:spacing w:after="80" w:before="0"/>
      </w:pPr>
    </w:p>
    <w:p>
      <w:pPr>
        <w:pStyle w:val="Heading2"/>
        <w:spacing w:after="120" w:before="280"/>
      </w:pPr>
      <w:r>
        <w:rPr>
          <w:rFonts w:ascii="Arial" w:cs="Arial" w:eastAsia="Arial" w:hAnsi="Arial"/>
          <w:b/>
          <w:bCs/>
          <w:color w:val="1D4ED8"/>
          <w:sz w:val="26"/>
          <w:szCs w:val="26"/>
        </w:rPr>
        <w:t xml:space="preserve">6.4  Zone list and area sanity check</w:t>
      </w:r>
    </w:p>
    <w:p>
      <w:pPr>
        <w:spacing w:after="140" w:before="0"/>
      </w:pPr>
      <w:r>
        <w:rPr>
          <w:rFonts w:ascii="Arial" w:cs="Arial" w:eastAsia="Arial" w:hAnsi="Arial"/>
          <w:sz w:val="22"/>
          <w:szCs w:val="22"/>
        </w:rPr>
        <w:t xml:space="preserve">The right-hand panel shows a list of zones with their current dimensions and areas. Below the list, an area sanity check computes:</w:t>
      </w:r>
    </w:p>
    <w:tbl>
      <w:tblPr>
        <w:tblW w:type="dxa" w:w="9026"/>
        <w:tblBorders>
          <w:top w:val="single" w:color="1D4ED8" w:sz="4"/>
          <w:left w:val="single" w:color="1D4ED8" w:sz="16"/>
          <w:bottom w:val="single" w:color="1D4ED8" w:sz="4"/>
          <w:right w:val="single" w:color="1D4ED8" w:sz="4"/>
          <w:insideH w:val="single" w:color="auto" w:sz="4"/>
          <w:insideV w:val="single" w:color="auto" w:sz="4"/>
        </w:tblBorders>
      </w:tblPr>
      <w:tblGrid>
        <w:gridCol w:w="9026"/>
      </w:tblGrid>
      <w:tr>
        <w:tc>
          <w:tcPr>
            <w:tcW w:type="dxa" w:w="9026"/>
            <w:shd w:fill="0F172A" w:val="clear"/>
            <w:tcMar>
              <w:top w:type="dxa" w:w="160"/>
              <w:left w:type="dxa" w:w="240"/>
              <w:bottom w:type="dxa" w:w="160"/>
              <w:right w:type="dxa" w:w="240"/>
            </w:tcMar>
          </w:tcPr>
          <w:p>
            <w:pPr>
              <w:spacing w:after="40" w:before="0"/>
            </w:pPr>
            <w:r>
              <w:rPr>
                <w:rFonts w:ascii="Courier New" w:cs="Courier New" w:eastAsia="Courier New" w:hAnsi="Courier New"/>
                <w:b/>
                <w:bCs/>
                <w:color w:val="86EFAC"/>
                <w:sz w:val="18"/>
                <w:szCs w:val="18"/>
              </w:rPr>
              <w:t xml:space="preserve">Footprint ratio  =  Total zone footprint  /  S_net  (×100%)</w:t>
            </w:r>
          </w:p>
        </w:tc>
      </w:tr>
    </w:tbl>
    <w:p>
      <w:pPr>
        <w:spacing w:after="140" w:before="0"/>
      </w:pPr>
      <w:r>
        <w:rPr>
          <w:rFonts w:ascii="Arial" w:cs="Arial" w:eastAsia="Arial" w:hAnsi="Arial"/>
          <w:sz w:val="22"/>
          <w:szCs w:val="22"/>
        </w:rPr>
        <w:t xml:space="preserve">Interpretation of the ratio: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026"/>
      </w:tblGrid>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Ratio</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Colour indicator</w:t>
            </w:r>
          </w:p>
        </w:tc>
        <w:tc>
          <w:tcPr>
            <w:tcW w:type="dxa" w:w="70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Meaning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&lt; 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Green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Feasible. Rack footprint comfortably within net area — aisles and losses are consistent with the efficiency factors used.</w:t>
            </w:r>
          </w:p>
        </w:tc>
      </w:tr>
      <w:tr>
        <w:tc>
          <w:tcPr>
            <w:tcW w:type="dxa" w:w="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80–95%</w:t>
            </w:r>
          </w:p>
        </w:tc>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Amber</w:t>
            </w:r>
          </w:p>
        </w:tc>
        <w:tc>
          <w:tcPr>
            <w:tcW w:type="dxa" w:w="70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Check layout. Rack footprint is high relative to S_net. Verify that the efficiency factors are not too optimistic for the planned aisle configuration.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&gt; 95%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Red</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Exceeds. The declared rack footprint exceeds the available net area. Review family shares or efficiency factors.</w:t>
            </w:r>
          </w:p>
        </w:tc>
      </w:tr>
    </w:tbl>
    <w:p>
      <w:pPr>
        <w:spacing w:after="80" w:before="0"/>
      </w:pPr>
    </w:p>
    <w:p>
      <w:pPr>
        <w:pStyle w:val="Heading2"/>
        <w:spacing w:after="120" w:before="280"/>
      </w:pPr>
      <w:r>
        <w:rPr>
          <w:rFonts w:ascii="Arial" w:cs="Arial" w:eastAsia="Arial" w:hAnsi="Arial"/>
          <w:b/>
          <w:bCs/>
          <w:color w:val="1D4ED8"/>
          <w:sz w:val="26"/>
          <w:szCs w:val="26"/>
        </w:rPr>
        <w:t xml:space="preserve">6.5  Export</w:t>
      </w:r>
    </w:p>
    <w:p>
      <w:pPr>
        <w:spacing w:after="140" w:before="0"/>
      </w:pPr>
      <w:r>
        <w:rPr>
          <w:rFonts w:ascii="Arial" w:cs="Arial" w:eastAsia="Arial" w:hAnsi="Arial"/>
          <w:sz w:val="22"/>
          <w:szCs w:val="22"/>
        </w:rPr>
        <w:t xml:space="preserve">Click "Export PDF" to print the layout to PDF via the browser's print dialog. Select "Save as PDF" and landscape orientation for best results. The navigation bar and controls are hidden during printing — only the SVG plan is output.</w:t>
      </w:r>
    </w:p>
    <w:p>
      <w:pPr>
        <w:spacing w:after="0" w:before="0"/>
      </w:pPr>
      <w:r>
        <w:br w:type="page"/>
      </w:r>
    </w:p>
    <w:p>
      <w:pPr>
        <w:pStyle w:val="Heading1"/>
        <w:pBdr>
          <w:bottom w:val="single" w:color="1D4ED8" w:sz="8" w:space="4"/>
        </w:pBdr>
        <w:spacing w:after="200" w:before="360"/>
      </w:pPr>
      <w:r>
        <w:rPr>
          <w:rFonts w:ascii="Arial" w:cs="Arial" w:eastAsia="Arial" w:hAnsi="Arial"/>
          <w:b/>
          <w:bCs/>
          <w:color w:val="1F3864"/>
          <w:sz w:val="32"/>
          <w:szCs w:val="32"/>
        </w:rPr>
        <w:t xml:space="preserve">Appendix A — Complete Parameter Reference</w:t>
      </w:r>
    </w:p>
    <w:p>
      <w:pPr>
        <w:pStyle w:val="Heading2"/>
        <w:spacing w:after="120" w:before="280"/>
      </w:pPr>
      <w:r>
        <w:rPr>
          <w:rFonts w:ascii="Arial" w:cs="Arial" w:eastAsia="Arial" w:hAnsi="Arial"/>
          <w:b/>
          <w:bCs/>
          <w:color w:val="1D4ED8"/>
          <w:sz w:val="26"/>
          <w:szCs w:val="26"/>
        </w:rPr>
        <w:t xml:space="preserve">A.1  Area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100"/>
        <w:gridCol w:w="900"/>
        <w:gridCol w:w="700"/>
        <w:gridCol w:w="3126"/>
      </w:tblGrid>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Symbol</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Full name</w:t>
            </w:r>
          </w:p>
        </w:tc>
        <w:tc>
          <w:tcPr>
            <w:tcW w:type="dxa" w:w="11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Tab</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Default</w:t>
            </w:r>
          </w:p>
        </w:tc>
        <w:tc>
          <w:tcPr>
            <w:tcW w:type="dxa" w:w="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Unit</w:t>
            </w:r>
          </w:p>
        </w:tc>
        <w:tc>
          <w:tcPr>
            <w:tcW w:type="dxa" w:w="31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Formula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S_workshop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Workshop gross surface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Inputs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6 000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m²</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User input</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k_store</w:t>
            </w:r>
          </w:p>
        </w:tc>
        <w:tc>
          <w:tcPr>
            <w:tcW w:type="dxa" w:w="2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Store allocation ratio</w:t>
            </w:r>
          </w:p>
        </w:tc>
        <w:tc>
          <w:tcPr>
            <w:tcW w:type="dxa" w:w="11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Assumptions</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18%</w:t>
            </w:r>
          </w:p>
        </w:tc>
        <w:tc>
          <w:tcPr>
            <w:tcW w:type="dxa" w:w="7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c>
          <w:tcPr>
            <w:tcW w:type="dxa" w:w="31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User input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k_nostor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Non-storage area ratio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Assumptions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35%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User input</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S_gross</w:t>
            </w:r>
          </w:p>
        </w:tc>
        <w:tc>
          <w:tcPr>
            <w:tcW w:type="dxa" w:w="2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Store gross surface</w:t>
            </w:r>
          </w:p>
        </w:tc>
        <w:tc>
          <w:tcPr>
            <w:tcW w:type="dxa" w:w="11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Calculated</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1 080</w:t>
            </w:r>
          </w:p>
        </w:tc>
        <w:tc>
          <w:tcPr>
            <w:tcW w:type="dxa" w:w="7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m²</w:t>
            </w:r>
          </w:p>
        </w:tc>
        <w:tc>
          <w:tcPr>
            <w:tcW w:type="dxa" w:w="31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S_workshop × k_store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S_nostor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Non-storage area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Calculated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378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m²</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S_gross × k_nostor</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S_net</w:t>
            </w:r>
          </w:p>
        </w:tc>
        <w:tc>
          <w:tcPr>
            <w:tcW w:type="dxa" w:w="2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Net storage area</w:t>
            </w:r>
          </w:p>
        </w:tc>
        <w:tc>
          <w:tcPr>
            <w:tcW w:type="dxa" w:w="11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Calculated</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702</w:t>
            </w:r>
          </w:p>
        </w:tc>
        <w:tc>
          <w:tcPr>
            <w:tcW w:type="dxa" w:w="7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m²</w:t>
            </w:r>
          </w:p>
        </w:tc>
        <w:tc>
          <w:tcPr>
            <w:tcW w:type="dxa" w:w="31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S_gross − S_nostor</w:t>
            </w:r>
          </w:p>
        </w:tc>
      </w:tr>
    </w:tbl>
    <w:p>
      <w:pPr>
        <w:spacing w:after="80" w:before="0"/>
      </w:pPr>
    </w:p>
    <w:p>
      <w:pPr>
        <w:pStyle w:val="Heading2"/>
        <w:spacing w:after="120" w:before="280"/>
      </w:pPr>
      <w:r>
        <w:rPr>
          <w:rFonts w:ascii="Arial" w:cs="Arial" w:eastAsia="Arial" w:hAnsi="Arial"/>
          <w:b/>
          <w:bCs/>
          <w:color w:val="1D4ED8"/>
          <w:sz w:val="26"/>
          <w:szCs w:val="26"/>
        </w:rPr>
        <w:t xml:space="preserve">A.2  Pallet Rack Geometry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000"/>
        <w:gridCol w:w="900"/>
        <w:gridCol w:w="3326"/>
      </w:tblGrid>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Symbol</w:t>
            </w:r>
          </w:p>
        </w:tc>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Name</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Default</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Unit</w:t>
            </w:r>
          </w:p>
        </w:tc>
        <w:tc>
          <w:tcPr>
            <w:tcW w:type="dxa" w:w="33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Standard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pal_w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Pallet width along beam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ISO 6780</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pal_d</w:t>
            </w:r>
          </w:p>
        </w:tc>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Pallet depth into rack</w:t>
            </w:r>
          </w:p>
        </w:tc>
        <w:tc>
          <w:tcPr>
            <w:tcW w:type="dxa" w:w="1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0.80</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w:t>
            </w:r>
          </w:p>
        </w:tc>
        <w:tc>
          <w:tcPr>
            <w:tcW w:type="dxa" w:w="33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ISO 6780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pal_h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Average loaded pallet height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 15620</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pal_bay</w:t>
            </w:r>
          </w:p>
        </w:tc>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Positions per bay per level</w:t>
            </w:r>
          </w:p>
        </w:tc>
        <w:tc>
          <w:tcPr>
            <w:tcW w:type="dxa" w:w="1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pos</w:t>
            </w:r>
          </w:p>
        </w:tc>
        <w:tc>
          <w:tcPr>
            <w:tcW w:type="dxa" w:w="33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clr_s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Side clearance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0.075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 15620 cl.300</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clr_b</w:t>
            </w:r>
          </w:p>
        </w:tc>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Between-pallet clearance</w:t>
            </w:r>
          </w:p>
        </w:tc>
        <w:tc>
          <w:tcPr>
            <w:tcW w:type="dxa" w:w="1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0.100</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w:t>
            </w:r>
          </w:p>
        </w:tc>
        <w:tc>
          <w:tcPr>
            <w:tcW w:type="dxa" w:w="33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 15620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clr_d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Depth tolerance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clr_v</w:t>
            </w:r>
          </w:p>
        </w:tc>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Vertical clearance per level</w:t>
            </w:r>
          </w:p>
        </w:tc>
        <w:tc>
          <w:tcPr>
            <w:tcW w:type="dxa" w:w="1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0.200</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w:t>
            </w:r>
          </w:p>
        </w:tc>
        <w:tc>
          <w:tcPr>
            <w:tcW w:type="dxa" w:w="33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 15620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clr_bt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Bottom clearance (floor to 1st beam)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0.150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 15512</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clr_tp</w:t>
            </w:r>
          </w:p>
        </w:tc>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Top clearance (below structure)</w:t>
            </w:r>
          </w:p>
        </w:tc>
        <w:tc>
          <w:tcPr>
            <w:tcW w:type="dxa" w:w="1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0.300</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w:t>
            </w:r>
          </w:p>
        </w:tc>
        <w:tc>
          <w:tcPr>
            <w:tcW w:type="dxa" w:w="33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 15620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bay_W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Bay width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2.65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2×pal_w+2×clr_s+clr_b</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bay_D</w:t>
            </w:r>
          </w:p>
        </w:tc>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Bay depth</w:t>
            </w:r>
          </w:p>
        </w:tc>
        <w:tc>
          <w:tcPr>
            <w:tcW w:type="dxa" w:w="1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0.90</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w:t>
            </w:r>
          </w:p>
        </w:tc>
        <w:tc>
          <w:tcPr>
            <w:tcW w:type="dxa" w:w="33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pal_d+clr_d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a_pos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Position footprint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1.1925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m²/pos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bay_W×bay_D/pal_bay</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h_lev</w:t>
            </w:r>
          </w:p>
        </w:tc>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Height per level</w:t>
            </w:r>
          </w:p>
        </w:tc>
        <w:tc>
          <w:tcPr>
            <w:tcW w:type="dxa" w:w="1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1.40</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w:t>
            </w:r>
          </w:p>
        </w:tc>
        <w:tc>
          <w:tcPr>
            <w:tcW w:type="dxa" w:w="33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pal_h+clr_v</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N_lev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Number of levels (auto)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levels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INT((H_useful−clr_bt−clr_tp)/h_lev)</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h_frame</w:t>
            </w:r>
          </w:p>
        </w:tc>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Frame height (check)</w:t>
            </w:r>
          </w:p>
        </w:tc>
        <w:tc>
          <w:tcPr>
            <w:tcW w:type="dxa" w:w="1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4.65</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w:t>
            </w:r>
          </w:p>
        </w:tc>
        <w:tc>
          <w:tcPr>
            <w:tcW w:type="dxa" w:w="33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clr_bt+N_lev×h_lev+clr_tp</w:t>
            </w:r>
          </w:p>
        </w:tc>
      </w:tr>
    </w:tbl>
    <w:p>
      <w:pPr>
        <w:spacing w:after="80" w:before="0"/>
      </w:pPr>
    </w:p>
    <w:p>
      <w:pPr>
        <w:pStyle w:val="Heading2"/>
        <w:spacing w:after="120" w:before="280"/>
      </w:pPr>
      <w:r>
        <w:rPr>
          <w:rFonts w:ascii="Arial" w:cs="Arial" w:eastAsia="Arial" w:hAnsi="Arial"/>
          <w:b/>
          <w:bCs/>
          <w:color w:val="1D4ED8"/>
          <w:sz w:val="26"/>
          <w:szCs w:val="26"/>
        </w:rPr>
        <w:t xml:space="preserve">A.3  Shelving and Cantilever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000"/>
        <w:gridCol w:w="5226"/>
      </w:tblGrid>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Symbol</w:t>
            </w:r>
          </w:p>
        </w:tc>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Name</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Default</w:t>
            </w:r>
          </w:p>
        </w:tc>
        <w:tc>
          <w:tcPr>
            <w:tcW w:type="dxa" w:w="52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Unit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she_L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Module length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1.20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she_D</w:t>
            </w:r>
          </w:p>
        </w:tc>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Module depth single face</w:t>
            </w:r>
          </w:p>
        </w:tc>
        <w:tc>
          <w:tcPr>
            <w:tcW w:type="dxa" w:w="1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0.50</w:t>
            </w:r>
          </w:p>
        </w:tc>
        <w:tc>
          <w:tcPr>
            <w:tcW w:type="dxa" w:w="5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she_H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Module height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2.20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she_lv</w:t>
            </w:r>
          </w:p>
        </w:tc>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Shelf levels</w:t>
            </w:r>
          </w:p>
        </w:tc>
        <w:tc>
          <w:tcPr>
            <w:tcW w:type="dxa" w:w="1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6</w:t>
            </w:r>
          </w:p>
        </w:tc>
        <w:tc>
          <w:tcPr>
            <w:tcW w:type="dxa" w:w="5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levels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can_a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Arm length (one side)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0.80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can_H</w:t>
            </w:r>
          </w:p>
        </w:tc>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Column height</w:t>
            </w:r>
          </w:p>
        </w:tc>
        <w:tc>
          <w:tcPr>
            <w:tcW w:type="dxa" w:w="1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3.50</w:t>
            </w:r>
          </w:p>
        </w:tc>
        <w:tc>
          <w:tcPr>
            <w:tcW w:type="dxa" w:w="5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can_lv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Arm levels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4</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levels</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can_bL</w:t>
            </w:r>
          </w:p>
        </w:tc>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Bay pitch (column centres)</w:t>
            </w:r>
          </w:p>
        </w:tc>
        <w:tc>
          <w:tcPr>
            <w:tcW w:type="dxa" w:w="1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1.75</w:t>
            </w:r>
          </w:p>
        </w:tc>
        <w:tc>
          <w:tcPr>
            <w:tcW w:type="dxa" w:w="5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flo_W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Floor place width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2.00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flo_D</w:t>
            </w:r>
          </w:p>
        </w:tc>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Floor place depth</w:t>
            </w:r>
          </w:p>
        </w:tc>
        <w:tc>
          <w:tcPr>
            <w:tcW w:type="dxa" w:w="1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2.00</w:t>
            </w:r>
          </w:p>
        </w:tc>
        <w:tc>
          <w:tcPr>
            <w:tcW w:type="dxa" w:w="5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k_gr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Growth / contingency margin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t>
            </w:r>
          </w:p>
        </w:tc>
      </w:tr>
    </w:tbl>
    <w:p>
      <w:pPr>
        <w:spacing w:after="80" w:before="0"/>
      </w:pPr>
    </w:p>
    <w:p>
      <w:pPr>
        <w:pStyle w:val="Heading2"/>
        <w:spacing w:after="120" w:before="280"/>
      </w:pPr>
      <w:r>
        <w:rPr>
          <w:rFonts w:ascii="Arial" w:cs="Arial" w:eastAsia="Arial" w:hAnsi="Arial"/>
          <w:b/>
          <w:bCs/>
          <w:color w:val="1D4ED8"/>
          <w:sz w:val="26"/>
          <w:szCs w:val="26"/>
        </w:rPr>
        <w:t xml:space="preserve">A.4  Efficiency and Occupancy Defaults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900"/>
        <w:gridCol w:w="900"/>
        <w:gridCol w:w="3826"/>
      </w:tblGrid>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Symbol</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Name</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Default</w:t>
            </w:r>
          </w:p>
        </w:tc>
        <w:tc>
          <w:tcPr>
            <w:tcW w:type="dxa" w:w="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Range</w:t>
            </w:r>
          </w:p>
        </w:tc>
        <w:tc>
          <w:tcPr>
            <w:tcW w:type="dxa" w:w="38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Applied 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eff_pal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Pallet zone efficiency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0.45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0.35–0.55</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Pallet racks families</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eff_she</w:t>
            </w:r>
          </w:p>
        </w:tc>
        <w:tc>
          <w:tcPr>
            <w:tcW w:type="dxa" w:w="2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Shelving zone efficiency</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0.50</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0.40–0.60</w:t>
            </w:r>
          </w:p>
        </w:tc>
        <w:tc>
          <w:tcPr>
            <w:tcW w:type="dxa" w:w="38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Shelving families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eff_can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Cantilever zone efficiency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0.35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0.30–0.45</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Cantilever families</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eff_flo</w:t>
            </w:r>
          </w:p>
        </w:tc>
        <w:tc>
          <w:tcPr>
            <w:tcW w:type="dxa" w:w="2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Floor storage efficiency</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0.65</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0.55–0.70</w:t>
            </w:r>
          </w:p>
        </w:tc>
        <w:tc>
          <w:tcPr>
            <w:tcW w:type="dxa" w:w="38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Floor storage families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occ_pal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Pallet rack target occupancy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80%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70–85%</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Pallet racks</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occ_she</w:t>
            </w:r>
          </w:p>
        </w:tc>
        <w:tc>
          <w:tcPr>
            <w:tcW w:type="dxa" w:w="2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Shelving target occupancy</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80%</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70–85%</w:t>
            </w:r>
          </w:p>
        </w:tc>
        <w:tc>
          <w:tcPr>
            <w:tcW w:type="dxa" w:w="38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Shelving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occ_can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Cantilever target occupancy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75%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65–80%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Cantilever</w:t>
            </w:r>
          </w:p>
        </w:tc>
      </w:tr>
      <w:tr>
        <w:tc>
          <w:tcPr>
            <w:tcW w:type="dxa" w:w="1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occ_flo</w:t>
            </w:r>
          </w:p>
        </w:tc>
        <w:tc>
          <w:tcPr>
            <w:tcW w:type="dxa" w:w="2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Floor storage target occupancy</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75%</w:t>
            </w:r>
          </w:p>
        </w:tc>
        <w:tc>
          <w:tcPr>
            <w:tcW w:type="dxa" w:w="9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65–80%</w:t>
            </w:r>
          </w:p>
        </w:tc>
        <w:tc>
          <w:tcPr>
            <w:tcW w:type="dxa" w:w="38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Floor storage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occ_ded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Dedicated area occupancy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100%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Dedicated area</w:t>
            </w:r>
          </w:p>
        </w:tc>
      </w:tr>
    </w:tbl>
    <w:p>
      <w:pPr>
        <w:spacing w:after="0" w:before="0"/>
      </w:pPr>
      <w:r>
        <w:br w:type="page"/>
      </w:r>
    </w:p>
    <w:p>
      <w:pPr>
        <w:pStyle w:val="Heading1"/>
        <w:pBdr>
          <w:bottom w:val="single" w:color="1D4ED8" w:sz="8" w:space="4"/>
        </w:pBdr>
        <w:spacing w:after="200" w:before="360"/>
      </w:pPr>
      <w:r>
        <w:rPr>
          <w:rFonts w:ascii="Arial" w:cs="Arial" w:eastAsia="Arial" w:hAnsi="Arial"/>
          <w:b/>
          <w:bCs/>
          <w:color w:val="1F3864"/>
          <w:sz w:val="32"/>
          <w:szCs w:val="32"/>
        </w:rPr>
        <w:t xml:space="preserve">Appendix B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Term</w:t>
            </w:r>
          </w:p>
        </w:tc>
        <w:tc>
          <w:tcPr>
            <w:tcW w:type="dxa" w:w="72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after="0" w:before="0"/>
            </w:pPr>
            <w:r>
              <w:rPr>
                <w:rFonts w:ascii="Arial" w:cs="Arial" w:eastAsia="Arial" w:hAnsi="Arial"/>
                <w:b/>
                <w:bCs/>
                <w:color w:val="374151"/>
                <w:sz w:val="22"/>
                <w:szCs w:val="22"/>
              </w:rPr>
              <w:t xml:space="preserve">Definition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a_pos</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Position footprint (m²/pos): the floor area consumed by one pallet position at one level. Used as the divisor in the pallet capacity formula.</w:t>
            </w:r>
          </w:p>
        </w:tc>
      </w:tr>
      <w:tr>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Bay (travée)</w:t>
            </w:r>
          </w:p>
        </w:tc>
        <w:tc>
          <w:tcPr>
            <w:tcW w:type="dxa" w:w="7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The basic structural module of a pallet rack. One standard bay holds 2 pallets per level side by side.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CEILING(x, n)</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Rounds x up to the nearest multiple of n. CEILING(261.8, 1) = 262. Always rounds up — never down.</w:t>
            </w:r>
          </w:p>
        </w:tc>
      </w:tr>
      <w:tr>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Clearance (jeu)</w:t>
            </w:r>
          </w:p>
        </w:tc>
        <w:tc>
          <w:tcPr>
            <w:tcW w:type="dxa" w:w="7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 safety gap between two elements. Clearances prevent contact during forklift operation and accommodate dimensional tolerances.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Developed ML</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Total linear shelf face across all shelf levels. Developed ML = Ground ML × number of shelf levels.</w:t>
            </w:r>
          </w:p>
        </w:tc>
      </w:tr>
      <w:tr>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eff (efficiency factor)</w:t>
            </w:r>
          </w:p>
        </w:tc>
        <w:tc>
          <w:tcPr>
            <w:tcW w:type="dxa" w:w="7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The fraction of a raw zone area that becomes actual rack or equipment footprint. The complement (1−eff) represents aisles and access space.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EUR pallet</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Standard European pallet: 1 200 × 800 × 144 mm. The reference pallet type for this model.</w:t>
            </w:r>
          </w:p>
        </w:tc>
      </w:tr>
      <w:tr>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Floor place</w:t>
            </w:r>
          </w:p>
        </w:tc>
        <w:tc>
          <w:tcPr>
            <w:tcW w:type="dxa" w:w="7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 demarcated area on the floor (painted lines) where a large or heavy item is stored without a rack structure.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Gross capacity</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The calculated storage capacity before applying the growth margin. It corresponds to the geometric capacity of the S_fp footprint.</w:t>
            </w:r>
          </w:p>
        </w:tc>
      </w:tr>
      <w:tr>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Ground ML</w:t>
            </w:r>
          </w:p>
        </w:tc>
        <w:tc>
          <w:tcPr>
            <w:tcW w:type="dxa" w:w="7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Shelving linear metres measured at floor level — the total length of shelving runs in the plan.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h_frame</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The total height of a complete rack bay, from floor to top of the highest load level plus the top clearance. Must be ≤ H_useful.</w:t>
            </w:r>
          </w:p>
        </w:tc>
      </w:tr>
      <w:tr>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h_lev</w:t>
            </w:r>
          </w:p>
        </w:tc>
        <w:tc>
          <w:tcPr>
            <w:tcW w:type="dxa" w:w="7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The vertical pitch between rack beam levels: loaded pallet height plus vertical clearance.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H_useful</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The clear internal height available for storage, measured to the lowest obstacle.</w:t>
            </w:r>
          </w:p>
        </w:tc>
      </w:tr>
      <w:tr>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INT(x)</w:t>
            </w:r>
          </w:p>
        </w:tc>
        <w:tc>
          <w:tcPr>
            <w:tcW w:type="dxa" w:w="7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The integer part of x, rounding toward zero. INT(3.96) =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k_gr</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Growth/contingency margin (fraction). Applied to gross capacity to give recommended installed capacity.</w:t>
            </w:r>
          </w:p>
        </w:tc>
      </w:tr>
      <w:tr>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k_nostor</w:t>
            </w:r>
          </w:p>
        </w:tc>
        <w:tc>
          <w:tcPr>
            <w:tcW w:type="dxa" w:w="7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Fraction of S_gross occupied by non-storage functions (receiving, staging, office, circulation).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k_store</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Fraction of S_workshop allocated to the store.</w:t>
            </w:r>
          </w:p>
        </w:tc>
      </w:tr>
      <w:tr>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Level (niveau)</w:t>
            </w:r>
          </w:p>
        </w:tc>
        <w:tc>
          <w:tcPr>
            <w:tcW w:type="dxa" w:w="7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One horizontal row of beam-and-pallet in a pallet rack. A 3-level rack has 3 rows of beams.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LRU</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Line Replaceable Unit: a module-level assembly that is replaced as a whole during maintenance and sent for repair.</w:t>
            </w:r>
          </w:p>
        </w:tc>
      </w:tr>
      <w:tr>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ML</w:t>
            </w:r>
          </w:p>
        </w:tc>
        <w:tc>
          <w:tcPr>
            <w:tcW w:type="dxa" w:w="7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Mètre Linéaire / Linear metre: the unit used for shelving and cantilever rack quantities.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N_lev</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Number of storage levels in a pallet rack, calculated automatically from H_useful.</w:t>
            </w:r>
          </w:p>
        </w:tc>
      </w:tr>
      <w:tr>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occ (occupancy rate)</w:t>
            </w:r>
          </w:p>
        </w:tc>
        <w:tc>
          <w:tcPr>
            <w:tcW w:type="dxa" w:w="7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The planned fill level of a storage type. Practical fill = gross capacity × occ.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Practical fill</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Gross capacity × occupancy target. The planned maximum stock level at target occupancy.</w:t>
            </w:r>
          </w:p>
        </w:tc>
      </w:tr>
      <w:tr>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Rec. installed</w:t>
            </w:r>
          </w:p>
        </w:tc>
        <w:tc>
          <w:tcPr>
            <w:tcW w:type="dxa" w:w="7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Recommended installed capacity = CEILING(gross × (1+k_gr)). The procurement planning quantity.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S_fp</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Equipment footprint (m²): the actual floor area covered by racks or equipment, after deducting aisles.</w:t>
            </w:r>
          </w:p>
        </w:tc>
      </w:tr>
      <w:tr>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S_gross</w:t>
            </w:r>
          </w:p>
        </w:tc>
        <w:tc>
          <w:tcPr>
            <w:tcW w:type="dxa" w:w="7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Store gross surface (m²) = S_workshop × k_store.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S_net</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Net storage area (m²) = S_gross − S_nostor. Base of all capacity calculations.</w:t>
            </w:r>
          </w:p>
        </w:tc>
      </w:tr>
      <w:tr>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S_nostor</w:t>
            </w:r>
          </w:p>
        </w:tc>
        <w:tc>
          <w:tcPr>
            <w:tcW w:type="dxa" w:w="7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Non-storage area within the store (m²) = S_gross × k_nostor.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S_raw</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Raw zone area for a family (m²) = S_net × share. Includes aisles — not yet usable for rack capacity.</w:t>
            </w:r>
          </w:p>
        </w:tc>
      </w:tr>
      <w:tr>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S_workshop</w:t>
            </w:r>
          </w:p>
        </w:tc>
        <w:tc>
          <w:tcPr>
            <w:tcW w:type="dxa" w:w="7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Total workshop building gross surface area (m²). The starting point of the model.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Share (%)</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The fraction of S_net allocated to a storage family. Must sum to 100% across all eight families.</w:t>
            </w:r>
          </w:p>
        </w:tc>
      </w:tr>
      <w:tr>
        <w:tc>
          <w:tcPr>
            <w:tcW w:type="dxa" w:w="18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D4ED8"/>
                <w:sz w:val="20"/>
                <w:szCs w:val="20"/>
              </w:rPr>
              <w:t xml:space="preserve">Upright (montant)</w:t>
            </w:r>
          </w:p>
        </w:tc>
        <w:tc>
          <w:tcPr>
            <w:tcW w:type="dxa" w:w="7226"/>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The vertical structural element of a pallet rack. Two uprights connected by diagonal bracings form a rack frame.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space="2"/>
      </w:pBdr>
      <w:tabs>
        <w:tab w:val="right" w:pos="9026"/>
      </w:tabs>
      <w:spacing w:after="0" w:before="80"/>
    </w:pPr>
    <w:r>
      <w:rPr>
        <w:rFonts w:ascii="Arial" w:cs="Arial" w:eastAsia="Arial" w:hAnsi="Arial"/>
        <w:color w:val="64748B"/>
        <w:sz w:val="18"/>
        <w:szCs w:val="18"/>
      </w:rPr>
      <w:t xml:space="preserve">Page </w:t>
    </w:r>
    <w:r>
      <w:rPr>
        <w:rFonts w:ascii="Arial" w:cs="Arial" w:eastAsia="Arial" w:hAnsi="Arial"/>
        <w:color w:val="64748B"/>
        <w:sz w:val="18"/>
        <w:szCs w:val="18"/>
      </w:rPr>
      <w:pgNum/>
    </w:r>
    <w:r>
      <w:rPr>
        <w:rFonts w:ascii="Arial" w:cs="Arial" w:eastAsia="Arial" w:hAnsi="Arial"/>
        <w:sz w:val="18"/>
        <w:szCs w:val="18"/>
      </w:rPr>
      <w:t xml:space="preserve">	</w:t>
    </w:r>
    <w:r>
      <w:rPr>
        <w:rFonts w:ascii="Arial" w:cs="Arial" w:eastAsia="Arial" w:hAnsi="Arial"/>
        <w:i/>
        <w:iCs/>
        <w:color w:val="64748B"/>
        <w:sz w:val="18"/>
        <w:szCs w:val="18"/>
      </w:rPr>
      <w:t xml:space="preserve">Pre-sizing estimates only — validate with detailed layout study before procurement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4" w:space="2"/>
      </w:pBdr>
      <w:tabs>
        <w:tab w:val="right" w:pos="9026"/>
      </w:tabs>
      <w:spacing w:after="80" w:before="0"/>
    </w:pPr>
    <w:r>
      <w:rPr>
        <w:rFonts w:ascii="Arial" w:cs="Arial" w:eastAsia="Arial" w:hAnsi="Arial"/>
        <w:color w:val="64748B"/>
        <w:sz w:val="18"/>
        <w:szCs w:val="18"/>
      </w:rPr>
      <w:t xml:space="preserve">DEPOT — Store Pre-Sizing Model v8  |  User Guide</w:t>
    </w:r>
    <w:r>
      <w:rPr>
        <w:rFonts w:ascii="Arial" w:cs="Arial" w:eastAsia="Arial" w:hAnsi="Arial"/>
        <w:sz w:val="18"/>
        <w:szCs w:val="18"/>
      </w:rPr>
      <w:t xml:space="preserve">	</w:t>
    </w:r>
    <w:r>
      <w:rPr>
        <w:rFonts w:ascii="Arial" w:cs="Arial" w:eastAsia="Arial" w:hAnsi="Arial"/>
        <w:color w:val="64748B"/>
        <w:sz w:val="18"/>
        <w:szCs w:val="18"/>
      </w:rPr>
      <w:t xml:space="preserve">Created by Mohamed BOUDIA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2026-04-20T19:19:57.788Z</dcterms:created>
  <dcterms:modified xsi:type="dcterms:W3CDTF">2026-04-20T19:19:57.789Z</dcterms:modified>
</cp:coreProperties>
</file>

<file path=docProps/custom.xml><?xml version="1.0" encoding="utf-8"?>
<Properties xmlns="http://schemas.openxmlformats.org/officeDocument/2006/custom-properties" xmlns:vt="http://schemas.openxmlformats.org/officeDocument/2006/docPropsVTypes"/>
</file>