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00E5FF"/>
          <w:sz w:val="56"/>
          <w:szCs w:val="56"/>
        </w:rPr>
        <w:t xml:space="preserve">EDU-AIR</w:t>
      </w:r>
      <w:r>
        <w:rPr>
          <w:color w:val="5B6B80"/>
          <w:sz w:val="56"/>
          <w:szCs w:val="56"/>
        </w:rPr>
        <w:t xml:space="preserve">  ·  </w:t>
      </w:r>
      <w:r>
        <w:rPr>
          <w:b/>
          <w:bCs/>
          <w:color w:val="0A1626"/>
          <w:sz w:val="42"/>
          <w:szCs w:val="42"/>
        </w:rPr>
        <w:t xml:space="preserve">L'application vs le tableau numérique interactif (TNI)</w:t>
      </w:r>
    </w:p>
    <w:p>
      <w:pPr>
        <w:pBdr>
          <w:bottom w:val="single" w:color="00E5FF" w:sz="8" w:space="1"/>
        </w:pBdr>
        <w:spacing w:after="260"/>
      </w:pPr>
    </w:p>
    <w:p>
      <w:pPr>
        <w:spacing w:after="200" w:line="300"/>
      </w:pPr>
      <w:r>
        <w:rPr>
          <w:color w:val="5B6B80"/>
          <w:sz w:val="24"/>
          <w:szCs w:val="24"/>
        </w:rPr>
        <w:t xml:space="preserve">Un comparatif court, honnête et concret pour choisir votre équipement de classe — rédigé pour les équipes pédagogiques, décideurs et directions d'établissement.</w:t>
      </w:r>
    </w:p>
    <w:p>
      <w:pPr>
        <w:pStyle w:val="Heading1"/>
        <w:spacing w:after="120" w:before="200"/>
      </w:pPr>
      <w:r>
        <w:rPr>
          <w:b/>
          <w:bCs/>
          <w:color w:val="0A1626"/>
          <w:sz w:val="28"/>
          <w:szCs w:val="28"/>
        </w:rPr>
        <w:t xml:space="preserve">La différence en une phrase</w:t>
      </w:r>
    </w:p>
    <w:p>
      <w:pPr>
        <w:spacing w:after="120" w:line="300"/>
      </w:pPr>
      <w:r>
        <w:rPr>
          <w:b w:val="false"/>
          <w:bCs w:val="false"/>
          <w:color w:val="1A2433"/>
          <w:sz w:val="22"/>
          <w:szCs w:val="22"/>
        </w:rPr>
        <w:t xml:space="preserve">Un TNI rend </w:t>
      </w:r>
      <w:r>
        <w:rPr>
          <w:b/>
          <w:bCs/>
          <w:color w:val="1A2433"/>
          <w:sz w:val="22"/>
          <w:szCs w:val="22"/>
        </w:rPr>
        <w:t xml:space="preserve">l'écran tactile</w:t>
      </w:r>
      <w:r>
        <w:rPr>
          <w:b w:val="false"/>
          <w:bCs w:val="false"/>
          <w:color w:val="1A2433"/>
          <w:sz w:val="22"/>
          <w:szCs w:val="22"/>
        </w:rPr>
        <w:t xml:space="preserve"> : on touche une surface dédiée.  </w:t>
      </w:r>
      <w:r>
        <w:rPr>
          <w:b w:val="false"/>
          <w:bCs w:val="false"/>
          <w:color w:val="1A2433"/>
          <w:sz w:val="22"/>
          <w:szCs w:val="22"/>
        </w:rPr>
        <w:t xml:space="preserve">EDU-AIR rend </w:t>
      </w:r>
      <w:r>
        <w:rPr>
          <w:b/>
          <w:bCs/>
          <w:color w:val="1A2433"/>
          <w:sz w:val="22"/>
          <w:szCs w:val="22"/>
        </w:rPr>
        <w:t xml:space="preserve">l'air interactif</w:t>
      </w:r>
      <w:r>
        <w:rPr>
          <w:b w:val="false"/>
          <w:bCs w:val="false"/>
          <w:color w:val="1A2433"/>
          <w:sz w:val="22"/>
          <w:szCs w:val="22"/>
        </w:rPr>
        <w:t xml:space="preserve"> : on pointe, dessine et clique dans l'air, sur l'écran ou le projecteur déjà en place. Aucun contact, aucun écran tactile à acheter.</w:t>
      </w:r>
      <w:r>
        <w:rPr>
          <w:color w:val="1A2433"/>
          <w:sz w:val="22"/>
          <w:szCs w:val="22"/>
        </w:rPr>
      </w:r>
    </w:p>
    <w:p>
      <w:pPr>
        <w:pStyle w:val="Heading1"/>
        <w:spacing w:after="120" w:before="120"/>
      </w:pPr>
      <w:r>
        <w:rPr>
          <w:b/>
          <w:bCs/>
          <w:color w:val="0A1626"/>
          <w:sz w:val="28"/>
          <w:szCs w:val="28"/>
        </w:rPr>
        <w:t xml:space="preserve">Le comparatif côte à côte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3538"/>
        <w:gridCol w:w="3538"/>
      </w:tblGrid>
      <w:tr>
        <w:trPr>
          <w:tblHeader/>
        </w:trPr>
        <w:tc>
          <w:tcPr>
            <w:tcW w:type="dxa" w:w="1950"/>
            <w:shd w:fill="0A162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3538"/>
            <w:shd w:fill="0A162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TNI classique</w:t>
            </w:r>
          </w:p>
        </w:tc>
        <w:tc>
          <w:tcPr>
            <w:tcW w:type="dxa" w:w="3538"/>
            <w:shd w:fill="0A162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EDU-AIR</w:t>
            </w:r>
          </w:p>
        </w:tc>
      </w:tr>
      <w:tr>
        <w:trPr>
          <w:tblHeader w:val="false"/>
        </w:trPr>
        <w:tc>
          <w:tcPr>
            <w:tcW w:type="dxa" w:w="1950"/>
            <w:shd w:fill="E9F5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6406B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3538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1A2433"/>
                <w:sz w:val="20"/>
                <w:szCs w:val="20"/>
              </w:rPr>
              <w:t xml:space="preserve">Stylet / doigt sur une surface tactile dédiée</w:t>
            </w:r>
          </w:p>
        </w:tc>
        <w:tc>
          <w:tcPr>
            <w:tcW w:type="dxa" w:w="3538"/>
            <w:shd w:fill="E9F5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6406B"/>
                <w:sz w:val="20"/>
                <w:szCs w:val="20"/>
              </w:rPr>
              <w:t xml:space="preserve">Gestes dans l'air, voix, regard — sur l'équipement existant</w:t>
            </w:r>
          </w:p>
        </w:tc>
      </w:tr>
      <w:tr>
        <w:trPr>
          <w:tblHeader w:val="false"/>
        </w:trPr>
        <w:tc>
          <w:tcPr>
            <w:tcW w:type="dxa" w:w="1950"/>
            <w:shd w:fill="E9F5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6406B"/>
                <w:sz w:val="20"/>
                <w:szCs w:val="20"/>
              </w:rPr>
              <w:t xml:space="preserve">Surface requise</w:t>
            </w:r>
          </w:p>
        </w:tc>
        <w:tc>
          <w:tcPr>
            <w:tcW w:type="dxa" w:w="3538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1A2433"/>
                <w:sz w:val="20"/>
                <w:szCs w:val="20"/>
              </w:rPr>
              <w:t xml:space="preserve">Écran ou tableau tactile obligatoire</w:t>
            </w:r>
          </w:p>
        </w:tc>
        <w:tc>
          <w:tcPr>
            <w:tcW w:type="dxa" w:w="3538"/>
            <w:shd w:fill="E9F5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6406B"/>
                <w:sz w:val="20"/>
                <w:szCs w:val="20"/>
              </w:rPr>
              <w:t xml:space="preserve">N'importe quelle surface : mur, projecteur, PC, téléviseur éventuel</w:t>
            </w:r>
          </w:p>
        </w:tc>
      </w:tr>
      <w:tr>
        <w:trPr>
          <w:tblHeader w:val="false"/>
        </w:trPr>
        <w:tc>
          <w:tcPr>
            <w:tcW w:type="dxa" w:w="1950"/>
            <w:shd w:fill="E9F5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6406B"/>
                <w:sz w:val="20"/>
                <w:szCs w:val="20"/>
              </w:rPr>
              <w:t xml:space="preserve">Matériel nécessaire</w:t>
            </w:r>
          </w:p>
        </w:tc>
        <w:tc>
          <w:tcPr>
            <w:tcW w:type="dxa" w:w="3538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1A2433"/>
                <w:sz w:val="20"/>
                <w:szCs w:val="20"/>
              </w:rPr>
              <w:t xml:space="preserve">Tableau tactile + logiciel propriétaire + installation/câblage</w:t>
            </w:r>
          </w:p>
        </w:tc>
        <w:tc>
          <w:tcPr>
            <w:tcW w:type="dxa" w:w="3538"/>
            <w:shd w:fill="E9F5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6406B"/>
                <w:sz w:val="20"/>
                <w:szCs w:val="20"/>
              </w:rPr>
              <w:t xml:space="preserve">Un ordinateur + une webcam (souvent déjà présents)</w:t>
            </w:r>
          </w:p>
        </w:tc>
      </w:tr>
      <w:tr>
        <w:trPr>
          <w:tblHeader w:val="false"/>
        </w:trPr>
        <w:tc>
          <w:tcPr>
            <w:tcW w:type="dxa" w:w="1950"/>
            <w:shd w:fill="E9F5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6406B"/>
                <w:sz w:val="20"/>
                <w:szCs w:val="20"/>
              </w:rPr>
              <w:t xml:space="preserve">Hygiène</w:t>
            </w:r>
          </w:p>
        </w:tc>
        <w:tc>
          <w:tcPr>
            <w:tcW w:type="dxa" w:w="3538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1A2433"/>
                <w:sz w:val="20"/>
                <w:szCs w:val="20"/>
              </w:rPr>
              <w:t xml:space="preserve">Contact permanent, surface partagée à désinfecter</w:t>
            </w:r>
          </w:p>
        </w:tc>
        <w:tc>
          <w:tcPr>
            <w:tcW w:type="dxa" w:w="3538"/>
            <w:shd w:fill="E9F5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6406B"/>
                <w:sz w:val="20"/>
                <w:szCs w:val="20"/>
              </w:rPr>
              <w:t xml:space="preserve">Zéro contact, distanciation naturelle</w:t>
            </w:r>
          </w:p>
        </w:tc>
      </w:tr>
      <w:tr>
        <w:trPr>
          <w:tblHeader w:val="false"/>
        </w:trPr>
        <w:tc>
          <w:tcPr>
            <w:tcW w:type="dxa" w:w="1950"/>
            <w:shd w:fill="E9F5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6406B"/>
                <w:sz w:val="20"/>
                <w:szCs w:val="20"/>
              </w:rPr>
              <w:t xml:space="preserve">Déploiement</w:t>
            </w:r>
          </w:p>
        </w:tc>
        <w:tc>
          <w:tcPr>
            <w:tcW w:type="dxa" w:w="3538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1A2433"/>
                <w:sz w:val="20"/>
                <w:szCs w:val="20"/>
              </w:rPr>
              <w:t xml:space="preserve">Installation lourde, parfois travaux</w:t>
            </w:r>
          </w:p>
        </w:tc>
        <w:tc>
          <w:tcPr>
            <w:tcW w:type="dxa" w:w="3538"/>
            <w:shd w:fill="E9F5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6406B"/>
                <w:sz w:val="20"/>
                <w:szCs w:val="20"/>
              </w:rPr>
              <w:t xml:space="preserve">Logiciel (Windows) ou PWA : déploiement immédiat</w:t>
            </w:r>
          </w:p>
        </w:tc>
      </w:tr>
      <w:tr>
        <w:trPr>
          <w:tblHeader w:val="false"/>
        </w:trPr>
        <w:tc>
          <w:tcPr>
            <w:tcW w:type="dxa" w:w="1950"/>
            <w:shd w:fill="E9F5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6406B"/>
                <w:sz w:val="20"/>
                <w:szCs w:val="20"/>
              </w:rPr>
              <w:t xml:space="preserve">Coût</w:t>
            </w:r>
          </w:p>
        </w:tc>
        <w:tc>
          <w:tcPr>
            <w:tcW w:type="dxa" w:w="3538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1A2433"/>
                <w:sz w:val="20"/>
                <w:szCs w:val="20"/>
              </w:rPr>
              <w:t xml:space="preserve">Écran coûteux + maintenance + licences</w:t>
            </w:r>
          </w:p>
        </w:tc>
        <w:tc>
          <w:tcPr>
            <w:tcW w:type="dxa" w:w="3538"/>
            <w:shd w:fill="E9F5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6406B"/>
                <w:sz w:val="20"/>
                <w:szCs w:val="20"/>
              </w:rPr>
              <w:t xml:space="preserve">Coût logiciel, amorti sur le matériel déjà là</w:t>
            </w:r>
          </w:p>
        </w:tc>
      </w:tr>
      <w:tr>
        <w:trPr>
          <w:tblHeader w:val="false"/>
        </w:trPr>
        <w:tc>
          <w:tcPr>
            <w:tcW w:type="dxa" w:w="1950"/>
            <w:shd w:fill="E9F5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6406B"/>
                <w:sz w:val="20"/>
                <w:szCs w:val="20"/>
              </w:rPr>
              <w:t xml:space="preserve">Mobilité</w:t>
            </w:r>
          </w:p>
        </w:tc>
        <w:tc>
          <w:tcPr>
            <w:tcW w:type="dxa" w:w="3538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1A2433"/>
                <w:sz w:val="20"/>
                <w:szCs w:val="20"/>
              </w:rPr>
              <w:t xml:space="preserve">La classe vient au tableau</w:t>
            </w:r>
          </w:p>
        </w:tc>
        <w:tc>
          <w:tcPr>
            <w:tcW w:type="dxa" w:w="3538"/>
            <w:shd w:fill="E9F5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6406B"/>
                <w:sz w:val="20"/>
                <w:szCs w:val="20"/>
              </w:rPr>
              <w:t xml:space="preserve">La classe suit l'enseignant : un portable suffit</w:t>
            </w:r>
          </w:p>
        </w:tc>
      </w:tr>
      <w:tr>
        <w:trPr>
          <w:tblHeader w:val="false"/>
        </w:trPr>
        <w:tc>
          <w:tcPr>
            <w:tcW w:type="dxa" w:w="1950"/>
            <w:shd w:fill="E9F5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6406B"/>
                <w:sz w:val="20"/>
                <w:szCs w:val="20"/>
              </w:rPr>
              <w:t xml:space="preserve">Accessibilité</w:t>
            </w:r>
          </w:p>
        </w:tc>
        <w:tc>
          <w:tcPr>
            <w:tcW w:type="dxa" w:w="3538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1A2433"/>
                <w:sz w:val="20"/>
                <w:szCs w:val="20"/>
              </w:rPr>
              <w:t xml:space="preserve">Précision tactile, portée limitée</w:t>
            </w:r>
          </w:p>
        </w:tc>
        <w:tc>
          <w:tcPr>
            <w:tcW w:type="dxa" w:w="3538"/>
            <w:shd w:fill="E9F5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6406B"/>
                <w:sz w:val="20"/>
                <w:szCs w:val="20"/>
              </w:rPr>
              <w:t xml:space="preserve">Profils dédiés : grands gestes, gros cibles, voix</w:t>
            </w:r>
          </w:p>
        </w:tc>
      </w:tr>
      <w:tr>
        <w:trPr>
          <w:tblHeader w:val="false"/>
        </w:trPr>
        <w:tc>
          <w:tcPr>
            <w:tcW w:type="dxa" w:w="1950"/>
            <w:shd w:fill="E9F5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6406B"/>
                <w:sz w:val="20"/>
                <w:szCs w:val="20"/>
              </w:rPr>
              <w:t xml:space="preserve">Pédagogie</w:t>
            </w:r>
          </w:p>
        </w:tc>
        <w:tc>
          <w:tcPr>
            <w:tcW w:type="dxa" w:w="3538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1A2433"/>
                <w:sz w:val="20"/>
                <w:szCs w:val="20"/>
              </w:rPr>
              <w:t xml:space="preserve">Annotation et écriture tactiles</w:t>
            </w:r>
          </w:p>
        </w:tc>
        <w:tc>
          <w:tcPr>
            <w:tcW w:type="dxa" w:w="3538"/>
            <w:shd w:fill="E9F5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6406B"/>
                <w:sz w:val="20"/>
                <w:szCs w:val="20"/>
              </w:rPr>
              <w:t xml:space="preserve">Pointeur, dessin, quiz, 3D et commandes vocales en l'air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0A1626"/>
          <w:sz w:val="28"/>
          <w:szCs w:val="28"/>
        </w:rPr>
        <w:t xml:space="preserve">Ce que ça change concrètement en classe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Plus de files d'attente : l'élève reste à sa place et interagit depuis son bureau.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La même surface sert pour tout : pointer, écrire, lancer la simulation 3D, répondre au quiz.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Temps d'installation à zéro : l'app démarre comme n'importe quel logiciel, sans travaux.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Maintenable par l'équipe enseignante, sans technicien spécialisé pour chaque panne d'écran.</w:t>
      </w:r>
    </w:p>
    <w:p>
      <w:pPr>
        <w:pStyle w:val="ListParagraph"/>
        <w:numPr>
          <w:ilvl w:val="0"/>
          <w:numId w:val="2"/>
        </w:numPr>
        <w:spacing w:after="220"/>
      </w:pPr>
      <w:r>
        <w:rPr>
          <w:sz w:val="22"/>
          <w:szCs w:val="22"/>
        </w:rPr>
        <w:t xml:space="preserve">Respectueux de la vie privée : les images caméra restent sur la machine (traitement local).</w:t>
      </w:r>
    </w:p>
    <w:p>
      <w:pPr>
        <w:pStyle w:val="Heading1"/>
        <w:spacing w:after="120" w:before="120"/>
      </w:pPr>
      <w:r>
        <w:rPr>
          <w:b/>
          <w:bCs/>
          <w:color w:val="0A1626"/>
          <w:sz w:val="28"/>
          <w:szCs w:val="28"/>
        </w:rPr>
        <w:t xml:space="preserve">En résumé</w:t>
      </w:r>
    </w:p>
    <w:p>
      <w:pPr>
        <w:spacing w:after="200" w:line="300"/>
      </w:pPr>
      <w:r>
        <w:rPr>
          <w:color w:val="1A2433"/>
          <w:sz w:val="22"/>
          <w:szCs w:val="22"/>
        </w:rPr>
        <w:t xml:space="preserve">Le TNI résout un problème de 2010 : comment toucher l'écran sans souris. EDU-AIR résout celui d'aujourd'hui : </w:t>
      </w:r>
      <w:r>
        <w:rPr>
          <w:b/>
          <w:bCs/>
          <w:color w:val="1A2433"/>
          <w:sz w:val="22"/>
          <w:szCs w:val="22"/>
        </w:rPr>
        <w:t xml:space="preserve">comment interagir sans rien toucher</w:t>
      </w:r>
      <w:r>
        <w:rPr>
          <w:color w:val="1A2433"/>
          <w:sz w:val="22"/>
          <w:szCs w:val="22"/>
        </w:rPr>
        <w:t xml:space="preserve"> — à l'hygiène de la classe, au budget de l'établissement et au matériel déjà présent.</w:t>
      </w:r>
    </w:p>
    <w:p>
      <w:pPr>
        <w:spacing w:after="0" w:line="300"/>
      </w:pPr>
      <w:r>
        <w:rPr>
          <w:color w:val="5B6B80"/>
          <w:sz w:val="18"/>
          <w:szCs w:val="18"/>
        </w:rPr>
        <w:t xml:space="preserve">EDU-AIR — démonstration et documentation : le site présente l'application et sa version web conviviale. Produit de démonstration pédagogique ; aucune garantie d'aptitude médicale ou de diagnostic.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2026-09-22T11:11:13.564Z</dcterms:created>
  <dcterms:modified xsi:type="dcterms:W3CDTF">2026-09-22T11:11:13.567Z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