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3A3BD5" w:rsidP="003A3BD5">
      <w:pPr>
        <w:jc w:val="center"/>
        <w:rPr>
          <w:rFonts w:ascii="Arial" w:hAnsi="Arial" w:cs="Arial"/>
          <w:b/>
          <w:sz w:val="36"/>
          <w:szCs w:val="36"/>
        </w:rPr>
      </w:pPr>
      <w:r w:rsidRPr="003A3BD5">
        <w:rPr>
          <w:rFonts w:ascii="Arial" w:hAnsi="Arial" w:cs="Arial"/>
          <w:b/>
          <w:sz w:val="36"/>
          <w:szCs w:val="36"/>
        </w:rPr>
        <w:t>Chaîne TIC</w:t>
      </w:r>
    </w:p>
    <w:p w:rsidR="003A3BD5" w:rsidRDefault="003A3BD5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E1064" w:rsidRDefault="00EE1064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770ED5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9306E8" w:rsidRPr="00522594" w:rsidRDefault="009306E8" w:rsidP="009306E8">
      <w:pPr>
        <w:rPr>
          <w:rFonts w:ascii="Arial" w:hAnsi="Arial" w:cs="Arial"/>
          <w:b/>
          <w:bCs/>
          <w:sz w:val="24"/>
          <w:szCs w:val="24"/>
        </w:rPr>
      </w:pPr>
    </w:p>
    <w:p w:rsidR="009306E8" w:rsidRDefault="009306E8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2959D6" w:rsidRDefault="002959D6" w:rsidP="00F22A7B">
      <w:pPr>
        <w:jc w:val="both"/>
        <w:rPr>
          <w:rFonts w:ascii="Arial" w:hAnsi="Arial" w:cs="Arial"/>
          <w:sz w:val="24"/>
          <w:szCs w:val="24"/>
        </w:rPr>
      </w:pPr>
    </w:p>
    <w:p w:rsidR="002959D6" w:rsidRDefault="002959D6" w:rsidP="00F22A7B">
      <w:pPr>
        <w:jc w:val="both"/>
        <w:rPr>
          <w:rFonts w:ascii="Arial" w:hAnsi="Arial" w:cs="Arial"/>
          <w:sz w:val="24"/>
          <w:szCs w:val="24"/>
        </w:rPr>
      </w:pPr>
    </w:p>
    <w:p w:rsidR="002959D6" w:rsidRDefault="002959D6" w:rsidP="00F22A7B">
      <w:pPr>
        <w:jc w:val="both"/>
        <w:rPr>
          <w:rFonts w:ascii="Arial" w:hAnsi="Arial" w:cs="Arial"/>
          <w:sz w:val="24"/>
          <w:szCs w:val="24"/>
        </w:rPr>
      </w:pPr>
    </w:p>
    <w:p w:rsidR="002959D6" w:rsidRDefault="002959D6" w:rsidP="00F22A7B">
      <w:pPr>
        <w:jc w:val="both"/>
        <w:rPr>
          <w:rFonts w:ascii="Arial" w:hAnsi="Arial" w:cs="Arial"/>
          <w:sz w:val="24"/>
          <w:szCs w:val="24"/>
        </w:rPr>
      </w:pPr>
    </w:p>
    <w:p w:rsidR="002959D6" w:rsidRDefault="002959D6" w:rsidP="00F22A7B">
      <w:pPr>
        <w:jc w:val="both"/>
        <w:rPr>
          <w:rFonts w:ascii="Arial" w:hAnsi="Arial" w:cs="Arial"/>
          <w:sz w:val="24"/>
          <w:szCs w:val="24"/>
        </w:rPr>
      </w:pPr>
    </w:p>
    <w:p w:rsidR="002959D6" w:rsidRDefault="002959D6" w:rsidP="00F22A7B">
      <w:pPr>
        <w:jc w:val="both"/>
        <w:rPr>
          <w:rFonts w:ascii="Arial" w:hAnsi="Arial" w:cs="Arial"/>
          <w:sz w:val="24"/>
          <w:szCs w:val="24"/>
        </w:rPr>
      </w:pPr>
    </w:p>
    <w:p w:rsidR="002959D6" w:rsidRDefault="002959D6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56151E" w:rsidP="00770ED5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</w:t>
            </w:r>
            <w:r w:rsidR="00770ED5">
              <w:rPr>
                <w:rFonts w:ascii="Arial" w:hAnsi="Arial" w:cs="Arial"/>
                <w:szCs w:val="22"/>
              </w:rPr>
              <w:t>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312522"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982596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146D7D" w:rsidRPr="00146D7D">
        <w:rPr>
          <w:rFonts w:ascii="Arial" w:hAnsi="Arial" w:cs="Arial"/>
          <w:sz w:val="24"/>
          <w:szCs w:val="24"/>
        </w:rPr>
        <w:t xml:space="preserve">de </w:t>
      </w:r>
      <w:r w:rsidR="00982596" w:rsidRPr="00982596">
        <w:rPr>
          <w:rFonts w:ascii="Arial" w:hAnsi="Arial" w:cs="Arial"/>
          <w:sz w:val="24"/>
          <w:szCs w:val="24"/>
        </w:rPr>
        <w:t>maintenir un niveau convenu de sécurité de l’information dans les relations avec les fournisseurs.</w:t>
      </w:r>
    </w:p>
    <w:p w:rsidR="00982596" w:rsidRDefault="00982596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D36AAE">
      <w:pPr>
        <w:pStyle w:val="Default"/>
        <w:jc w:val="both"/>
        <w:rPr>
          <w:rFonts w:ascii="Arial" w:hAnsi="Arial" w:cs="Arial"/>
          <w:lang w:val="fr-FR"/>
        </w:rPr>
      </w:pPr>
      <w:r w:rsidRPr="00AE202D">
        <w:rPr>
          <w:rFonts w:ascii="Arial" w:hAnsi="Arial" w:cs="Arial"/>
          <w:lang w:val="fr-FR"/>
        </w:rPr>
        <w:t>Le domaine d’application d</w:t>
      </w:r>
      <w:r w:rsidR="00312522" w:rsidRPr="00AE202D">
        <w:rPr>
          <w:rFonts w:ascii="Arial" w:hAnsi="Arial" w:cs="Arial"/>
          <w:lang w:val="fr-FR"/>
        </w:rPr>
        <w:t xml:space="preserve">e </w:t>
      </w:r>
      <w:r w:rsidR="00D36AAE">
        <w:rPr>
          <w:rFonts w:ascii="Arial" w:hAnsi="Arial" w:cs="Arial"/>
          <w:lang w:val="fr-FR"/>
        </w:rPr>
        <w:t xml:space="preserve">la procédure </w:t>
      </w:r>
      <w:r w:rsidR="00483EBD">
        <w:rPr>
          <w:rFonts w:ascii="Arial" w:hAnsi="Arial" w:cs="Arial"/>
          <w:lang w:val="fr-FR"/>
        </w:rPr>
        <w:t>« C</w:t>
      </w:r>
      <w:r w:rsidR="00D36AAE">
        <w:rPr>
          <w:rFonts w:ascii="Arial" w:hAnsi="Arial" w:cs="Arial"/>
          <w:lang w:val="fr-FR"/>
        </w:rPr>
        <w:t>haîne TIC</w:t>
      </w:r>
      <w:r w:rsidR="00483EBD">
        <w:rPr>
          <w:rFonts w:ascii="Arial" w:hAnsi="Arial" w:cs="Arial"/>
          <w:lang w:val="fr-FR"/>
        </w:rPr>
        <w:t> »</w:t>
      </w:r>
      <w:r w:rsidR="00D36AAE">
        <w:rPr>
          <w:rFonts w:ascii="Arial" w:hAnsi="Arial" w:cs="Arial"/>
          <w:lang w:val="fr-FR"/>
        </w:rPr>
        <w:t xml:space="preserve"> </w:t>
      </w:r>
      <w:r w:rsidRPr="00AE202D">
        <w:rPr>
          <w:rFonts w:ascii="Arial" w:hAnsi="Arial" w:cs="Arial"/>
          <w:lang w:val="fr-FR"/>
        </w:rPr>
        <w:t xml:space="preserve">s’applique à </w:t>
      </w:r>
      <w:r w:rsidR="005C5273" w:rsidRPr="00AE202D">
        <w:rPr>
          <w:rFonts w:ascii="Arial" w:hAnsi="Arial" w:cs="Arial"/>
          <w:lang w:val="fr-FR"/>
        </w:rPr>
        <w:t xml:space="preserve">l’ensemble du personnel </w:t>
      </w:r>
      <w:r w:rsidR="00D36AAE" w:rsidRPr="00D36AAE">
        <w:rPr>
          <w:rFonts w:ascii="Arial" w:hAnsi="Arial" w:cs="Arial"/>
          <w:lang w:val="fr-FR"/>
        </w:rPr>
        <w:t>ayant accès à l’information et aux autres actifs de l’organisation.</w:t>
      </w:r>
    </w:p>
    <w:p w:rsidR="00D36AAE" w:rsidRPr="00D36AAE" w:rsidRDefault="00D36AAE" w:rsidP="00D36AAE">
      <w:pPr>
        <w:pStyle w:val="Default"/>
        <w:jc w:val="both"/>
        <w:rPr>
          <w:rFonts w:ascii="Arial" w:hAnsi="Arial" w:cs="Arial"/>
          <w:lang w:val="fr-FR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312522" w:rsidRDefault="007E3CC5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TIC</w:t>
      </w:r>
      <w:r w:rsidR="0031252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technologies de l’information et de la communication</w:t>
      </w: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692931" w:rsidRDefault="0069293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– sécurité de l’information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 w:rsidR="00AE202D">
        <w:rPr>
          <w:rFonts w:ascii="Arial" w:hAnsi="Arial" w:cs="Arial"/>
          <w:sz w:val="24"/>
          <w:szCs w:val="24"/>
        </w:rPr>
        <w:t xml:space="preserve"> (RSI)</w:t>
      </w:r>
      <w:r>
        <w:rPr>
          <w:rFonts w:ascii="Arial" w:hAnsi="Arial" w:cs="Arial"/>
          <w:sz w:val="24"/>
          <w:szCs w:val="24"/>
        </w:rPr>
        <w:t xml:space="preserve"> 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CA1B89" w:rsidRDefault="00CA1B89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74219B" w:rsidRPr="0074219B" w:rsidRDefault="0074219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la chaîne TIC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770ED5">
        <w:rPr>
          <w:rFonts w:ascii="Arial" w:hAnsi="Arial" w:cs="Arial"/>
          <w:b/>
          <w:sz w:val="24"/>
          <w:szCs w:val="24"/>
        </w:rPr>
        <w:t>001 : 2022</w:t>
      </w:r>
    </w:p>
    <w:p w:rsidR="00177FBD" w:rsidRDefault="00177FB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770ED5" w:rsidRDefault="00177FBD" w:rsidP="00177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770ED5">
        <w:rPr>
          <w:rFonts w:ascii="Arial" w:hAnsi="Arial" w:cs="Arial"/>
          <w:sz w:val="24"/>
          <w:szCs w:val="24"/>
        </w:rPr>
        <w:t>5.</w:t>
      </w:r>
      <w:r w:rsidR="00982596">
        <w:rPr>
          <w:rFonts w:ascii="Arial" w:hAnsi="Arial" w:cs="Arial"/>
          <w:sz w:val="24"/>
          <w:szCs w:val="24"/>
        </w:rPr>
        <w:t>2</w:t>
      </w:r>
      <w:r w:rsidR="00770ED5">
        <w:rPr>
          <w:rFonts w:ascii="Arial" w:hAnsi="Arial" w:cs="Arial"/>
          <w:sz w:val="24"/>
          <w:szCs w:val="24"/>
        </w:rPr>
        <w:t>1</w:t>
      </w:r>
      <w:r w:rsidR="00146D7D">
        <w:rPr>
          <w:rFonts w:ascii="Arial" w:hAnsi="Arial" w:cs="Arial"/>
          <w:sz w:val="24"/>
          <w:szCs w:val="24"/>
        </w:rPr>
        <w:t xml:space="preserve"> </w:t>
      </w:r>
      <w:r w:rsidR="00982596">
        <w:rPr>
          <w:rFonts w:ascii="Arial" w:hAnsi="Arial" w:cs="Arial"/>
          <w:sz w:val="24"/>
          <w:szCs w:val="24"/>
        </w:rPr>
        <w:t>Chaîne TIC</w:t>
      </w:r>
    </w:p>
    <w:p w:rsidR="00177FBD" w:rsidRDefault="00177FBD" w:rsidP="00177FBD">
      <w:pPr>
        <w:jc w:val="both"/>
        <w:rPr>
          <w:rFonts w:ascii="Arial" w:hAnsi="Arial" w:cs="Arial"/>
          <w:sz w:val="24"/>
          <w:szCs w:val="24"/>
        </w:rPr>
      </w:pPr>
    </w:p>
    <w:p w:rsidR="00982596" w:rsidRDefault="00982596" w:rsidP="00F22A7B">
      <w:pPr>
        <w:jc w:val="both"/>
        <w:rPr>
          <w:rFonts w:ascii="Arial" w:hAnsi="Arial" w:cs="Arial"/>
          <w:sz w:val="24"/>
          <w:szCs w:val="24"/>
        </w:rPr>
      </w:pPr>
      <w:r w:rsidRPr="00982596">
        <w:rPr>
          <w:rFonts w:ascii="Arial" w:hAnsi="Arial" w:cs="Arial"/>
          <w:sz w:val="24"/>
          <w:szCs w:val="24"/>
        </w:rPr>
        <w:t xml:space="preserve">Des processus et procédures </w:t>
      </w:r>
      <w:r>
        <w:rPr>
          <w:rFonts w:ascii="Arial" w:hAnsi="Arial" w:cs="Arial"/>
          <w:sz w:val="24"/>
          <w:szCs w:val="24"/>
        </w:rPr>
        <w:t>doivent être définis et appliqués pour gérer l</w:t>
      </w:r>
      <w:r w:rsidRPr="00982596">
        <w:rPr>
          <w:rFonts w:ascii="Arial" w:hAnsi="Arial" w:cs="Arial"/>
          <w:sz w:val="24"/>
          <w:szCs w:val="24"/>
        </w:rPr>
        <w:t>es risques de sécurité de l'information liés à la chaîne d'approvisionnement des produits et services TIC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82596" w:rsidRDefault="00982596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7941AE">
        <w:rPr>
          <w:rFonts w:ascii="Arial" w:hAnsi="Arial" w:cs="Arial"/>
          <w:b/>
          <w:sz w:val="24"/>
          <w:szCs w:val="24"/>
        </w:rPr>
        <w:t xml:space="preserve">5. </w:t>
      </w:r>
      <w:r w:rsidRPr="0030003E">
        <w:rPr>
          <w:rFonts w:ascii="Arial" w:hAnsi="Arial" w:cs="Arial"/>
          <w:b/>
          <w:sz w:val="24"/>
          <w:szCs w:val="24"/>
        </w:rPr>
        <w:t>Déroulement</w:t>
      </w:r>
    </w:p>
    <w:p w:rsidR="009306E8" w:rsidRDefault="009306E8" w:rsidP="009306E8">
      <w:pPr>
        <w:jc w:val="both"/>
        <w:rPr>
          <w:rFonts w:ascii="Arial" w:hAnsi="Arial" w:cs="Arial"/>
          <w:b/>
          <w:sz w:val="24"/>
          <w:szCs w:val="24"/>
        </w:rPr>
      </w:pPr>
    </w:p>
    <w:p w:rsidR="007E3CC5" w:rsidRPr="007E3CC5" w:rsidRDefault="007E3CC5" w:rsidP="007E3CC5">
      <w:pPr>
        <w:jc w:val="both"/>
        <w:rPr>
          <w:rFonts w:ascii="Arial" w:hAnsi="Arial" w:cs="Arial"/>
          <w:sz w:val="24"/>
          <w:szCs w:val="24"/>
        </w:rPr>
      </w:pPr>
      <w:r w:rsidRPr="007E3CC5">
        <w:rPr>
          <w:rFonts w:ascii="Arial" w:hAnsi="Arial" w:cs="Arial"/>
          <w:sz w:val="24"/>
          <w:szCs w:val="24"/>
        </w:rPr>
        <w:t>Le</w:t>
      </w:r>
      <w:r w:rsidR="0074219B">
        <w:rPr>
          <w:rFonts w:ascii="Arial" w:hAnsi="Arial" w:cs="Arial"/>
          <w:sz w:val="24"/>
          <w:szCs w:val="24"/>
        </w:rPr>
        <w:t xml:space="preserve"> processus </w:t>
      </w:r>
      <w:r w:rsidR="0074219B" w:rsidRPr="0074219B">
        <w:rPr>
          <w:rFonts w:ascii="Arial" w:hAnsi="Arial" w:cs="Arial"/>
          <w:color w:val="0070C0"/>
          <w:sz w:val="24"/>
          <w:szCs w:val="24"/>
        </w:rPr>
        <w:t>Gérer la chaîne TIC</w:t>
      </w:r>
      <w:r w:rsidR="0074219B" w:rsidRPr="0074219B">
        <w:rPr>
          <w:rFonts w:ascii="Arial" w:hAnsi="Arial" w:cs="Arial"/>
          <w:color w:val="000000" w:themeColor="text1"/>
          <w:sz w:val="24"/>
          <w:szCs w:val="24"/>
        </w:rPr>
        <w:t xml:space="preserve"> prend </w:t>
      </w:r>
      <w:r w:rsidRPr="007E3CC5">
        <w:rPr>
          <w:rFonts w:ascii="Arial" w:hAnsi="Arial" w:cs="Arial"/>
          <w:sz w:val="24"/>
          <w:szCs w:val="24"/>
        </w:rPr>
        <w:t xml:space="preserve">en compte de la sécurité de la chaîne d'approvisionnement des TIC en plus des exigences générales de sécurité de l'information </w:t>
      </w:r>
      <w:r>
        <w:rPr>
          <w:rFonts w:ascii="Arial" w:hAnsi="Arial" w:cs="Arial"/>
          <w:sz w:val="24"/>
          <w:szCs w:val="24"/>
        </w:rPr>
        <w:t>d</w:t>
      </w:r>
      <w:r w:rsidRPr="007E3CC5">
        <w:rPr>
          <w:rFonts w:ascii="Arial" w:hAnsi="Arial" w:cs="Arial"/>
          <w:sz w:val="24"/>
          <w:szCs w:val="24"/>
        </w:rPr>
        <w:t>es relations avec les fournisseurs :</w:t>
      </w:r>
    </w:p>
    <w:p w:rsidR="007E3CC5" w:rsidRDefault="007E3CC5" w:rsidP="007E3CC5">
      <w:pPr>
        <w:jc w:val="both"/>
        <w:rPr>
          <w:rFonts w:ascii="Arial" w:hAnsi="Arial" w:cs="Arial"/>
          <w:sz w:val="24"/>
          <w:szCs w:val="24"/>
        </w:rPr>
      </w:pPr>
    </w:p>
    <w:p w:rsidR="007E3CC5" w:rsidRPr="007E3CC5" w:rsidRDefault="007E3CC5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7E3CC5">
        <w:rPr>
          <w:rFonts w:ascii="Arial" w:hAnsi="Arial" w:cs="Arial"/>
          <w:sz w:val="24"/>
          <w:szCs w:val="24"/>
        </w:rPr>
        <w:t xml:space="preserve">définir les exigences de sécurité de l'information à appliquer </w:t>
      </w:r>
      <w:r w:rsidR="00C2170F">
        <w:rPr>
          <w:rFonts w:ascii="Arial" w:hAnsi="Arial" w:cs="Arial"/>
          <w:sz w:val="24"/>
          <w:szCs w:val="24"/>
        </w:rPr>
        <w:t xml:space="preserve">lors de </w:t>
      </w:r>
      <w:r w:rsidRPr="007E3CC5">
        <w:rPr>
          <w:rFonts w:ascii="Arial" w:hAnsi="Arial" w:cs="Arial"/>
          <w:sz w:val="24"/>
          <w:szCs w:val="24"/>
        </w:rPr>
        <w:t xml:space="preserve">l'acquisition </w:t>
      </w:r>
      <w:r w:rsidR="00C2170F">
        <w:rPr>
          <w:rFonts w:ascii="Arial" w:hAnsi="Arial" w:cs="Arial"/>
          <w:sz w:val="24"/>
          <w:szCs w:val="24"/>
        </w:rPr>
        <w:t>de produits ou de services TIC</w:t>
      </w:r>
      <w:r w:rsidR="008D144E">
        <w:rPr>
          <w:rFonts w:ascii="Arial" w:hAnsi="Arial" w:cs="Arial"/>
          <w:sz w:val="24"/>
          <w:szCs w:val="24"/>
        </w:rPr>
        <w:t xml:space="preserve"> (fournisseur fiable)</w:t>
      </w:r>
      <w:bookmarkStart w:id="0" w:name="_GoBack"/>
      <w:bookmarkEnd w:id="0"/>
    </w:p>
    <w:p w:rsidR="007E3CC5" w:rsidRPr="007E3CC5" w:rsidRDefault="007E3CC5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7E3CC5">
        <w:rPr>
          <w:rFonts w:ascii="Arial" w:hAnsi="Arial" w:cs="Arial"/>
          <w:sz w:val="24"/>
          <w:szCs w:val="24"/>
        </w:rPr>
        <w:t xml:space="preserve">exiger que les fournisseurs de services TIC </w:t>
      </w:r>
      <w:r w:rsidR="00C2170F" w:rsidRPr="007E3CC5">
        <w:rPr>
          <w:rFonts w:ascii="Arial" w:hAnsi="Arial" w:cs="Arial"/>
          <w:sz w:val="24"/>
          <w:szCs w:val="24"/>
        </w:rPr>
        <w:t>retransmettent</w:t>
      </w:r>
      <w:r w:rsidRPr="007E3CC5">
        <w:rPr>
          <w:rFonts w:ascii="Arial" w:hAnsi="Arial" w:cs="Arial"/>
          <w:sz w:val="24"/>
          <w:szCs w:val="24"/>
        </w:rPr>
        <w:t xml:space="preserve"> les exigences de sécurité de l'organisation tout au long de la chaîne d'approvisionnement</w:t>
      </w:r>
      <w:r w:rsidR="00C2170F">
        <w:rPr>
          <w:rFonts w:ascii="Arial" w:hAnsi="Arial" w:cs="Arial"/>
          <w:sz w:val="24"/>
          <w:szCs w:val="24"/>
        </w:rPr>
        <w:t xml:space="preserve"> quand </w:t>
      </w:r>
      <w:r w:rsidRPr="007E3CC5">
        <w:rPr>
          <w:rFonts w:ascii="Arial" w:hAnsi="Arial" w:cs="Arial"/>
          <w:sz w:val="24"/>
          <w:szCs w:val="24"/>
        </w:rPr>
        <w:t>ils sous-traitent certaines parties du servi</w:t>
      </w:r>
      <w:r w:rsidR="00C2170F">
        <w:rPr>
          <w:rFonts w:ascii="Arial" w:hAnsi="Arial" w:cs="Arial"/>
          <w:sz w:val="24"/>
          <w:szCs w:val="24"/>
        </w:rPr>
        <w:t>ce TIC fourni à l'organisation</w:t>
      </w:r>
    </w:p>
    <w:p w:rsidR="007E3CC5" w:rsidRPr="007E3CC5" w:rsidRDefault="007E3CC5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7E3CC5">
        <w:rPr>
          <w:rFonts w:ascii="Arial" w:hAnsi="Arial" w:cs="Arial"/>
          <w:sz w:val="24"/>
          <w:szCs w:val="24"/>
        </w:rPr>
        <w:t xml:space="preserve">exiger que les fournisseurs de produits TIC </w:t>
      </w:r>
      <w:r w:rsidR="00C2170F" w:rsidRPr="007E3CC5">
        <w:rPr>
          <w:rFonts w:ascii="Arial" w:hAnsi="Arial" w:cs="Arial"/>
          <w:sz w:val="24"/>
          <w:szCs w:val="24"/>
        </w:rPr>
        <w:t>retransmettent</w:t>
      </w:r>
      <w:r w:rsidRPr="007E3CC5">
        <w:rPr>
          <w:rFonts w:ascii="Arial" w:hAnsi="Arial" w:cs="Arial"/>
          <w:sz w:val="24"/>
          <w:szCs w:val="24"/>
        </w:rPr>
        <w:t xml:space="preserve"> des pratiques de sécurité appropriées tout au long de la chaîne d'approvisionnement </w:t>
      </w:r>
      <w:r w:rsidR="00C2170F">
        <w:rPr>
          <w:rFonts w:ascii="Arial" w:hAnsi="Arial" w:cs="Arial"/>
          <w:sz w:val="24"/>
          <w:szCs w:val="24"/>
        </w:rPr>
        <w:t xml:space="preserve">quand </w:t>
      </w:r>
      <w:r w:rsidRPr="007E3CC5">
        <w:rPr>
          <w:rFonts w:ascii="Arial" w:hAnsi="Arial" w:cs="Arial"/>
          <w:sz w:val="24"/>
          <w:szCs w:val="24"/>
        </w:rPr>
        <w:t>ces produits comprennent des composants achetés ou acquis auprès d'autres fournisseurs</w:t>
      </w:r>
      <w:r w:rsidR="00C2170F">
        <w:rPr>
          <w:rFonts w:ascii="Arial" w:hAnsi="Arial" w:cs="Arial"/>
          <w:sz w:val="24"/>
          <w:szCs w:val="24"/>
        </w:rPr>
        <w:t xml:space="preserve"> </w:t>
      </w:r>
      <w:r w:rsidRPr="007E3CC5">
        <w:rPr>
          <w:rFonts w:ascii="Arial" w:hAnsi="Arial" w:cs="Arial"/>
          <w:sz w:val="24"/>
          <w:szCs w:val="24"/>
        </w:rPr>
        <w:t>(des développeurs de logiciels sous-traités et des fournis</w:t>
      </w:r>
      <w:r w:rsidR="00C2170F">
        <w:rPr>
          <w:rFonts w:ascii="Arial" w:hAnsi="Arial" w:cs="Arial"/>
          <w:sz w:val="24"/>
          <w:szCs w:val="24"/>
        </w:rPr>
        <w:t>seurs de composants matériels)</w:t>
      </w:r>
    </w:p>
    <w:p w:rsidR="007E3CC5" w:rsidRPr="007E3CC5" w:rsidRDefault="007E3CC5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7E3CC5">
        <w:rPr>
          <w:rFonts w:ascii="Arial" w:hAnsi="Arial" w:cs="Arial"/>
          <w:sz w:val="24"/>
          <w:szCs w:val="24"/>
        </w:rPr>
        <w:lastRenderedPageBreak/>
        <w:t xml:space="preserve">demander aux fournisseurs de produits TIC de </w:t>
      </w:r>
      <w:r w:rsidR="00C2170F">
        <w:rPr>
          <w:rFonts w:ascii="Arial" w:hAnsi="Arial" w:cs="Arial"/>
          <w:sz w:val="24"/>
          <w:szCs w:val="24"/>
        </w:rPr>
        <w:t xml:space="preserve">décrire </w:t>
      </w:r>
      <w:r w:rsidRPr="007E3CC5">
        <w:rPr>
          <w:rFonts w:ascii="Arial" w:hAnsi="Arial" w:cs="Arial"/>
          <w:sz w:val="24"/>
          <w:szCs w:val="24"/>
        </w:rPr>
        <w:t>les composants logici</w:t>
      </w:r>
      <w:r w:rsidR="00C2170F">
        <w:rPr>
          <w:rFonts w:ascii="Arial" w:hAnsi="Arial" w:cs="Arial"/>
          <w:sz w:val="24"/>
          <w:szCs w:val="24"/>
        </w:rPr>
        <w:t>els utilisés dans les produits</w:t>
      </w:r>
    </w:p>
    <w:p w:rsidR="007E3CC5" w:rsidRPr="007E3CC5" w:rsidRDefault="007E3CC5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7E3CC5">
        <w:rPr>
          <w:rFonts w:ascii="Arial" w:hAnsi="Arial" w:cs="Arial"/>
          <w:sz w:val="24"/>
          <w:szCs w:val="24"/>
        </w:rPr>
        <w:t>demander aux fournisseurs de produits TIC de fournir des informations décrivant les fonctions de sécurité mises en œuvre de leur produit et la configuration requise pour so</w:t>
      </w:r>
      <w:r w:rsidR="00C2170F">
        <w:rPr>
          <w:rFonts w:ascii="Arial" w:hAnsi="Arial" w:cs="Arial"/>
          <w:sz w:val="24"/>
          <w:szCs w:val="24"/>
        </w:rPr>
        <w:t>n fonctionnement sécurisé</w:t>
      </w:r>
    </w:p>
    <w:p w:rsidR="007E3CC5" w:rsidRPr="007E3CC5" w:rsidRDefault="007E3CC5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7E3CC5">
        <w:rPr>
          <w:rFonts w:ascii="Arial" w:hAnsi="Arial" w:cs="Arial"/>
          <w:sz w:val="24"/>
          <w:szCs w:val="24"/>
        </w:rPr>
        <w:t xml:space="preserve">mettre en œuvre un processus de surveillance et des méthodes acceptables pour valider que les produits et services TIC fournis </w:t>
      </w:r>
      <w:r w:rsidR="00C2170F">
        <w:rPr>
          <w:rFonts w:ascii="Arial" w:hAnsi="Arial" w:cs="Arial"/>
          <w:sz w:val="24"/>
          <w:szCs w:val="24"/>
        </w:rPr>
        <w:t xml:space="preserve">respectent les </w:t>
      </w:r>
      <w:r w:rsidRPr="007E3CC5">
        <w:rPr>
          <w:rFonts w:ascii="Arial" w:hAnsi="Arial" w:cs="Arial"/>
          <w:sz w:val="24"/>
          <w:szCs w:val="24"/>
        </w:rPr>
        <w:t>exigences de sécurité énoncées</w:t>
      </w:r>
      <w:r w:rsidR="00C2170F">
        <w:rPr>
          <w:rFonts w:ascii="Arial" w:hAnsi="Arial" w:cs="Arial"/>
          <w:sz w:val="24"/>
          <w:szCs w:val="24"/>
        </w:rPr>
        <w:t xml:space="preserve"> (</w:t>
      </w:r>
      <w:r w:rsidRPr="007E3CC5">
        <w:rPr>
          <w:rFonts w:ascii="Arial" w:hAnsi="Arial" w:cs="Arial"/>
          <w:sz w:val="24"/>
          <w:szCs w:val="24"/>
        </w:rPr>
        <w:t>tests d'intrusion</w:t>
      </w:r>
      <w:r w:rsidR="00C2170F">
        <w:rPr>
          <w:rFonts w:ascii="Arial" w:hAnsi="Arial" w:cs="Arial"/>
          <w:sz w:val="24"/>
          <w:szCs w:val="24"/>
        </w:rPr>
        <w:t xml:space="preserve">, </w:t>
      </w:r>
      <w:r w:rsidRPr="007E3CC5">
        <w:rPr>
          <w:rFonts w:ascii="Arial" w:hAnsi="Arial" w:cs="Arial"/>
          <w:sz w:val="24"/>
          <w:szCs w:val="24"/>
        </w:rPr>
        <w:t>validation d'attestations tierces</w:t>
      </w:r>
      <w:r w:rsidR="00C2170F">
        <w:rPr>
          <w:rFonts w:ascii="Arial" w:hAnsi="Arial" w:cs="Arial"/>
          <w:sz w:val="24"/>
          <w:szCs w:val="24"/>
        </w:rPr>
        <w:t>)</w:t>
      </w:r>
    </w:p>
    <w:p w:rsidR="007E3CC5" w:rsidRPr="007E3CC5" w:rsidRDefault="00C2170F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mettre en place </w:t>
      </w:r>
      <w:r w:rsidR="007E3CC5" w:rsidRPr="007E3CC5">
        <w:rPr>
          <w:rFonts w:ascii="Arial" w:hAnsi="Arial" w:cs="Arial"/>
          <w:sz w:val="24"/>
          <w:szCs w:val="24"/>
        </w:rPr>
        <w:t>un processus d'identification et de documentation des composants de produits ou de services qui sont essentiels au maintien de la fonctionnalité et nécessitent une attention, un examen et un suivi accrus</w:t>
      </w:r>
      <w:r w:rsidR="00AB1BD0">
        <w:rPr>
          <w:rFonts w:ascii="Arial" w:hAnsi="Arial" w:cs="Arial"/>
          <w:sz w:val="24"/>
          <w:szCs w:val="24"/>
        </w:rPr>
        <w:t xml:space="preserve"> (</w:t>
      </w:r>
      <w:r w:rsidR="007E3CC5" w:rsidRPr="007E3CC5">
        <w:rPr>
          <w:rFonts w:ascii="Arial" w:hAnsi="Arial" w:cs="Arial"/>
          <w:sz w:val="24"/>
          <w:szCs w:val="24"/>
        </w:rPr>
        <w:t>le fournisseur sous-traite</w:t>
      </w:r>
      <w:r w:rsidR="0074219B">
        <w:rPr>
          <w:rFonts w:ascii="Arial" w:hAnsi="Arial" w:cs="Arial"/>
          <w:sz w:val="24"/>
          <w:szCs w:val="24"/>
        </w:rPr>
        <w:t xml:space="preserve"> lui aussi)</w:t>
      </w:r>
      <w:r w:rsidR="007E3CC5" w:rsidRPr="007E3CC5">
        <w:rPr>
          <w:rFonts w:ascii="Arial" w:hAnsi="Arial" w:cs="Arial"/>
          <w:sz w:val="24"/>
          <w:szCs w:val="24"/>
        </w:rPr>
        <w:t xml:space="preserve"> </w:t>
      </w:r>
    </w:p>
    <w:p w:rsidR="007E3CC5" w:rsidRPr="007E3CC5" w:rsidRDefault="0074219B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</w:t>
      </w:r>
      <w:r w:rsidR="007E3CC5" w:rsidRPr="007E3CC5">
        <w:rPr>
          <w:rFonts w:ascii="Arial" w:hAnsi="Arial" w:cs="Arial"/>
          <w:sz w:val="24"/>
          <w:szCs w:val="24"/>
        </w:rPr>
        <w:t>assur</w:t>
      </w:r>
      <w:r>
        <w:rPr>
          <w:rFonts w:ascii="Arial" w:hAnsi="Arial" w:cs="Arial"/>
          <w:sz w:val="24"/>
          <w:szCs w:val="24"/>
        </w:rPr>
        <w:t>er</w:t>
      </w:r>
      <w:r w:rsidR="007E3CC5" w:rsidRPr="007E3CC5">
        <w:rPr>
          <w:rFonts w:ascii="Arial" w:hAnsi="Arial" w:cs="Arial"/>
          <w:sz w:val="24"/>
          <w:szCs w:val="24"/>
        </w:rPr>
        <w:t xml:space="preserve"> que les composants critiques peuvent être retracés tout au long de</w:t>
      </w:r>
      <w:r>
        <w:rPr>
          <w:rFonts w:ascii="Arial" w:hAnsi="Arial" w:cs="Arial"/>
          <w:sz w:val="24"/>
          <w:szCs w:val="24"/>
        </w:rPr>
        <w:t xml:space="preserve"> la chaîne d'approvisionnement</w:t>
      </w:r>
      <w:r w:rsidRPr="007421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jusqu’à </w:t>
      </w:r>
      <w:r w:rsidRPr="007E3CC5">
        <w:rPr>
          <w:rFonts w:ascii="Arial" w:hAnsi="Arial" w:cs="Arial"/>
          <w:sz w:val="24"/>
          <w:szCs w:val="24"/>
        </w:rPr>
        <w:t>leur origine</w:t>
      </w:r>
    </w:p>
    <w:p w:rsidR="007E3CC5" w:rsidRPr="007E3CC5" w:rsidRDefault="0074219B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</w:t>
      </w:r>
      <w:r w:rsidR="007E3CC5" w:rsidRPr="007E3CC5">
        <w:rPr>
          <w:rFonts w:ascii="Arial" w:hAnsi="Arial" w:cs="Arial"/>
          <w:sz w:val="24"/>
          <w:szCs w:val="24"/>
        </w:rPr>
        <w:t>assur</w:t>
      </w:r>
      <w:r>
        <w:rPr>
          <w:rFonts w:ascii="Arial" w:hAnsi="Arial" w:cs="Arial"/>
          <w:sz w:val="24"/>
          <w:szCs w:val="24"/>
        </w:rPr>
        <w:t>er</w:t>
      </w:r>
      <w:r w:rsidR="007E3CC5" w:rsidRPr="007E3CC5">
        <w:rPr>
          <w:rFonts w:ascii="Arial" w:hAnsi="Arial" w:cs="Arial"/>
          <w:sz w:val="24"/>
          <w:szCs w:val="24"/>
        </w:rPr>
        <w:t xml:space="preserve"> que les produits TIC livrés fonctionnent comme prévu, sans fonctionnalit</w:t>
      </w:r>
      <w:r>
        <w:rPr>
          <w:rFonts w:ascii="Arial" w:hAnsi="Arial" w:cs="Arial"/>
          <w:sz w:val="24"/>
          <w:szCs w:val="24"/>
        </w:rPr>
        <w:t>és inattendues ou indésirables</w:t>
      </w:r>
    </w:p>
    <w:p w:rsidR="0074219B" w:rsidRDefault="007E3CC5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7E3CC5">
        <w:rPr>
          <w:rFonts w:ascii="Arial" w:hAnsi="Arial" w:cs="Arial"/>
          <w:sz w:val="24"/>
          <w:szCs w:val="24"/>
        </w:rPr>
        <w:t xml:space="preserve">s'assurer que les composants des fournisseurs sont authentiques et </w:t>
      </w:r>
      <w:r w:rsidR="0074219B">
        <w:rPr>
          <w:rFonts w:ascii="Arial" w:hAnsi="Arial" w:cs="Arial"/>
          <w:sz w:val="24"/>
          <w:szCs w:val="24"/>
        </w:rPr>
        <w:t xml:space="preserve">correspondent </w:t>
      </w:r>
      <w:r w:rsidRPr="007E3CC5">
        <w:rPr>
          <w:rFonts w:ascii="Arial" w:hAnsi="Arial" w:cs="Arial"/>
          <w:sz w:val="24"/>
          <w:szCs w:val="24"/>
        </w:rPr>
        <w:t>à leurs spécifications</w:t>
      </w:r>
      <w:r w:rsidR="0074219B">
        <w:rPr>
          <w:rFonts w:ascii="Arial" w:hAnsi="Arial" w:cs="Arial"/>
          <w:sz w:val="24"/>
          <w:szCs w:val="24"/>
        </w:rPr>
        <w:t xml:space="preserve"> (</w:t>
      </w:r>
      <w:r w:rsidRPr="007E3CC5">
        <w:rPr>
          <w:rFonts w:ascii="Arial" w:hAnsi="Arial" w:cs="Arial"/>
          <w:sz w:val="24"/>
          <w:szCs w:val="24"/>
        </w:rPr>
        <w:t>étiquettes anti-effraction,</w:t>
      </w:r>
      <w:r w:rsidR="0074219B">
        <w:rPr>
          <w:rFonts w:ascii="Arial" w:hAnsi="Arial" w:cs="Arial"/>
          <w:sz w:val="24"/>
          <w:szCs w:val="24"/>
        </w:rPr>
        <w:t xml:space="preserve"> </w:t>
      </w:r>
      <w:r w:rsidRPr="007E3CC5">
        <w:rPr>
          <w:rFonts w:ascii="Arial" w:hAnsi="Arial" w:cs="Arial"/>
          <w:sz w:val="24"/>
          <w:szCs w:val="24"/>
        </w:rPr>
        <w:t>signatures numériques</w:t>
      </w:r>
      <w:r w:rsidR="0074219B">
        <w:rPr>
          <w:rFonts w:ascii="Arial" w:hAnsi="Arial" w:cs="Arial"/>
          <w:sz w:val="24"/>
          <w:szCs w:val="24"/>
        </w:rPr>
        <w:t>)</w:t>
      </w:r>
    </w:p>
    <w:p w:rsidR="007E3CC5" w:rsidRPr="007E3CC5" w:rsidRDefault="007E3CC5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7E3CC5">
        <w:rPr>
          <w:rFonts w:ascii="Arial" w:hAnsi="Arial" w:cs="Arial"/>
          <w:sz w:val="24"/>
          <w:szCs w:val="24"/>
        </w:rPr>
        <w:t>préven</w:t>
      </w:r>
      <w:r w:rsidR="0074219B">
        <w:rPr>
          <w:rFonts w:ascii="Arial" w:hAnsi="Arial" w:cs="Arial"/>
          <w:sz w:val="24"/>
          <w:szCs w:val="24"/>
        </w:rPr>
        <w:t xml:space="preserve">ir et </w:t>
      </w:r>
      <w:r w:rsidRPr="007E3CC5">
        <w:rPr>
          <w:rFonts w:ascii="Arial" w:hAnsi="Arial" w:cs="Arial"/>
          <w:sz w:val="24"/>
          <w:szCs w:val="24"/>
        </w:rPr>
        <w:t>détect</w:t>
      </w:r>
      <w:r w:rsidR="0074219B">
        <w:rPr>
          <w:rFonts w:ascii="Arial" w:hAnsi="Arial" w:cs="Arial"/>
          <w:sz w:val="24"/>
          <w:szCs w:val="24"/>
        </w:rPr>
        <w:t xml:space="preserve">er </w:t>
      </w:r>
      <w:r w:rsidRPr="007E3CC5">
        <w:rPr>
          <w:rFonts w:ascii="Arial" w:hAnsi="Arial" w:cs="Arial"/>
          <w:sz w:val="24"/>
          <w:szCs w:val="24"/>
        </w:rPr>
        <w:t xml:space="preserve">la falsification </w:t>
      </w:r>
      <w:r w:rsidR="0074219B">
        <w:rPr>
          <w:rFonts w:ascii="Arial" w:hAnsi="Arial" w:cs="Arial"/>
          <w:sz w:val="24"/>
          <w:szCs w:val="24"/>
        </w:rPr>
        <w:t xml:space="preserve">pendant </w:t>
      </w:r>
      <w:r w:rsidRPr="007E3CC5">
        <w:rPr>
          <w:rFonts w:ascii="Arial" w:hAnsi="Arial" w:cs="Arial"/>
          <w:sz w:val="24"/>
          <w:szCs w:val="24"/>
        </w:rPr>
        <w:t>la conception, le développement, l'intégration, l'exploitation et la maintenance</w:t>
      </w:r>
    </w:p>
    <w:p w:rsidR="007E3CC5" w:rsidRPr="007E3CC5" w:rsidRDefault="0074219B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</w:t>
      </w:r>
      <w:r w:rsidR="007E3CC5" w:rsidRPr="007E3CC5">
        <w:rPr>
          <w:rFonts w:ascii="Arial" w:hAnsi="Arial" w:cs="Arial"/>
          <w:sz w:val="24"/>
          <w:szCs w:val="24"/>
        </w:rPr>
        <w:t>assur</w:t>
      </w:r>
      <w:r>
        <w:rPr>
          <w:rFonts w:ascii="Arial" w:hAnsi="Arial" w:cs="Arial"/>
          <w:sz w:val="24"/>
          <w:szCs w:val="24"/>
        </w:rPr>
        <w:t xml:space="preserve">er </w:t>
      </w:r>
      <w:r w:rsidR="007E3CC5" w:rsidRPr="007E3CC5">
        <w:rPr>
          <w:rFonts w:ascii="Arial" w:hAnsi="Arial" w:cs="Arial"/>
          <w:sz w:val="24"/>
          <w:szCs w:val="24"/>
        </w:rPr>
        <w:t>que les produits TIC atteignent les niveaux de sécurité requis</w:t>
      </w:r>
      <w:r>
        <w:rPr>
          <w:rFonts w:ascii="Arial" w:hAnsi="Arial" w:cs="Arial"/>
          <w:sz w:val="24"/>
          <w:szCs w:val="24"/>
        </w:rPr>
        <w:t xml:space="preserve"> (</w:t>
      </w:r>
      <w:r w:rsidR="007E3CC5" w:rsidRPr="007E3CC5">
        <w:rPr>
          <w:rFonts w:ascii="Arial" w:hAnsi="Arial" w:cs="Arial"/>
          <w:sz w:val="24"/>
          <w:szCs w:val="24"/>
        </w:rPr>
        <w:t>certification formelle</w:t>
      </w:r>
      <w:r>
        <w:rPr>
          <w:rFonts w:ascii="Arial" w:hAnsi="Arial" w:cs="Arial"/>
          <w:sz w:val="24"/>
          <w:szCs w:val="24"/>
        </w:rPr>
        <w:t xml:space="preserve">, </w:t>
      </w:r>
      <w:r w:rsidR="007E3CC5" w:rsidRPr="007E3CC5">
        <w:rPr>
          <w:rFonts w:ascii="Arial" w:hAnsi="Arial" w:cs="Arial"/>
          <w:sz w:val="24"/>
          <w:szCs w:val="24"/>
        </w:rPr>
        <w:t>système d'évaluation</w:t>
      </w:r>
      <w:r>
        <w:rPr>
          <w:rFonts w:ascii="Arial" w:hAnsi="Arial" w:cs="Arial"/>
          <w:sz w:val="24"/>
          <w:szCs w:val="24"/>
        </w:rPr>
        <w:t>)</w:t>
      </w:r>
    </w:p>
    <w:p w:rsidR="007E3CC5" w:rsidRPr="007E3CC5" w:rsidRDefault="0074219B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7E3CC5" w:rsidRPr="007E3CC5">
        <w:rPr>
          <w:rFonts w:ascii="Arial" w:hAnsi="Arial" w:cs="Arial"/>
          <w:sz w:val="24"/>
          <w:szCs w:val="24"/>
        </w:rPr>
        <w:t>éfinir les règles de partage d'information concernant la chaîne d'approvisionnement et tout problème potentiel entre l'or</w:t>
      </w:r>
      <w:r>
        <w:rPr>
          <w:rFonts w:ascii="Arial" w:hAnsi="Arial" w:cs="Arial"/>
          <w:sz w:val="24"/>
          <w:szCs w:val="24"/>
        </w:rPr>
        <w:t>ganisation et les fournisseurs</w:t>
      </w:r>
    </w:p>
    <w:p w:rsidR="0074219B" w:rsidRDefault="007E3CC5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7E3CC5">
        <w:rPr>
          <w:rFonts w:ascii="Arial" w:hAnsi="Arial" w:cs="Arial"/>
          <w:sz w:val="24"/>
          <w:szCs w:val="24"/>
        </w:rPr>
        <w:t>mettre en œuvre des processus spécifiques pour gérer le cycle de vie et la disponibilité des composants TIC et les risques de sécurité associés</w:t>
      </w:r>
    </w:p>
    <w:p w:rsidR="007E3CC5" w:rsidRPr="007E3CC5" w:rsidRDefault="0074219B" w:rsidP="007E3CC5">
      <w:pPr>
        <w:pStyle w:val="Paragraphedeliste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74219B">
        <w:rPr>
          <w:rFonts w:ascii="Arial" w:hAnsi="Arial" w:cs="Arial"/>
          <w:sz w:val="24"/>
          <w:szCs w:val="24"/>
        </w:rPr>
        <w:t xml:space="preserve">envisager </w:t>
      </w:r>
      <w:r w:rsidR="007E3CC5" w:rsidRPr="0074219B">
        <w:rPr>
          <w:rFonts w:ascii="Arial" w:hAnsi="Arial" w:cs="Arial"/>
          <w:sz w:val="24"/>
          <w:szCs w:val="24"/>
        </w:rPr>
        <w:t>un fournisseur alternatif et le transfert de logiciel et de compétence au fournisseur alternatif</w:t>
      </w:r>
    </w:p>
    <w:sectPr w:rsidR="007E3CC5" w:rsidRPr="007E3CC5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A3E" w:rsidRDefault="00F73A3E">
      <w:r>
        <w:separator/>
      </w:r>
    </w:p>
  </w:endnote>
  <w:endnote w:type="continuationSeparator" w:id="0">
    <w:p w:rsidR="00F73A3E" w:rsidRDefault="00F7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A3E" w:rsidRDefault="00F73A3E">
      <w:r>
        <w:separator/>
      </w:r>
    </w:p>
  </w:footnote>
  <w:footnote w:type="continuationSeparator" w:id="0">
    <w:p w:rsidR="00F73A3E" w:rsidRDefault="00F73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57"/>
      <w:gridCol w:w="3312"/>
      <w:gridCol w:w="3261"/>
    </w:tblGrid>
    <w:tr w:rsidR="003A3BD5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4A42E8" w:rsidRDefault="003A3BD5" w:rsidP="004A42E8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Chaîne TIC</w:t>
          </w:r>
        </w:p>
        <w:p w:rsidR="00ED444D" w:rsidRDefault="003726FA" w:rsidP="004A42E8">
          <w:pPr>
            <w:pStyle w:val="Titre1"/>
            <w:rPr>
              <w:szCs w:val="22"/>
            </w:rPr>
          </w:pPr>
          <w:r>
            <w:rPr>
              <w:szCs w:val="22"/>
            </w:rPr>
            <w:t>(titre)</w:t>
          </w:r>
        </w:p>
      </w:tc>
      <w:tc>
        <w:tcPr>
          <w:tcW w:w="3514" w:type="dxa"/>
        </w:tcPr>
        <w:p w:rsidR="00ED444D" w:rsidRDefault="003726FA" w:rsidP="003A3BD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770ED5">
            <w:rPr>
              <w:rFonts w:ascii="Arial" w:hAnsi="Arial" w:cs="Arial"/>
              <w:szCs w:val="22"/>
            </w:rPr>
            <w:t>0</w:t>
          </w:r>
          <w:r w:rsidR="003A3BD5">
            <w:rPr>
              <w:rFonts w:ascii="Arial" w:hAnsi="Arial" w:cs="Arial"/>
              <w:szCs w:val="22"/>
            </w:rPr>
            <w:t>9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3A3BD5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7E3CC5">
            <w:rPr>
              <w:rFonts w:ascii="Arial" w:hAnsi="Arial" w:cs="Arial"/>
              <w:noProof/>
              <w:szCs w:val="22"/>
            </w:rPr>
            <w:t>05/12/2022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8D144E">
            <w:rPr>
              <w:rStyle w:val="Numrodepage"/>
              <w:rFonts w:ascii="Arial" w:hAnsi="Arial" w:cs="Arial"/>
              <w:noProof/>
              <w:szCs w:val="22"/>
            </w:rPr>
            <w:t>2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8D144E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A5229E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22771"/>
    <w:multiLevelType w:val="multilevel"/>
    <w:tmpl w:val="8F36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F5C04"/>
    <w:multiLevelType w:val="multilevel"/>
    <w:tmpl w:val="A89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5A7593"/>
    <w:multiLevelType w:val="multilevel"/>
    <w:tmpl w:val="9908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>
    <w:nsid w:val="1A7D769E"/>
    <w:multiLevelType w:val="multilevel"/>
    <w:tmpl w:val="992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5F36AE"/>
    <w:multiLevelType w:val="multilevel"/>
    <w:tmpl w:val="F93C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C1602A"/>
    <w:multiLevelType w:val="multilevel"/>
    <w:tmpl w:val="D712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4E5406"/>
    <w:multiLevelType w:val="hybridMultilevel"/>
    <w:tmpl w:val="C016B0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C718B9"/>
    <w:multiLevelType w:val="multilevel"/>
    <w:tmpl w:val="3894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E32299"/>
    <w:multiLevelType w:val="hybridMultilevel"/>
    <w:tmpl w:val="0E12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FA568B"/>
    <w:multiLevelType w:val="hybridMultilevel"/>
    <w:tmpl w:val="16981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8E0432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47009A"/>
    <w:multiLevelType w:val="hybridMultilevel"/>
    <w:tmpl w:val="6388D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863209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016DC2"/>
    <w:multiLevelType w:val="hybridMultilevel"/>
    <w:tmpl w:val="FBE88ED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062412"/>
    <w:multiLevelType w:val="hybridMultilevel"/>
    <w:tmpl w:val="E73C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EF6282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9812BC3"/>
    <w:multiLevelType w:val="hybridMultilevel"/>
    <w:tmpl w:val="47BC7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067329"/>
    <w:multiLevelType w:val="hybridMultilevel"/>
    <w:tmpl w:val="0494139A"/>
    <w:lvl w:ilvl="0" w:tplc="1082CE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C36C3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6"/>
  </w:num>
  <w:num w:numId="3">
    <w:abstractNumId w:val="32"/>
  </w:num>
  <w:num w:numId="4">
    <w:abstractNumId w:val="40"/>
  </w:num>
  <w:num w:numId="5">
    <w:abstractNumId w:val="27"/>
  </w:num>
  <w:num w:numId="6">
    <w:abstractNumId w:val="5"/>
  </w:num>
  <w:num w:numId="7">
    <w:abstractNumId w:val="12"/>
  </w:num>
  <w:num w:numId="8">
    <w:abstractNumId w:val="24"/>
  </w:num>
  <w:num w:numId="9">
    <w:abstractNumId w:val="18"/>
  </w:num>
  <w:num w:numId="10">
    <w:abstractNumId w:val="28"/>
  </w:num>
  <w:num w:numId="11">
    <w:abstractNumId w:val="42"/>
  </w:num>
  <w:num w:numId="12">
    <w:abstractNumId w:val="30"/>
  </w:num>
  <w:num w:numId="13">
    <w:abstractNumId w:val="31"/>
  </w:num>
  <w:num w:numId="14">
    <w:abstractNumId w:val="0"/>
  </w:num>
  <w:num w:numId="15">
    <w:abstractNumId w:val="20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 w:numId="20">
    <w:abstractNumId w:val="25"/>
  </w:num>
  <w:num w:numId="21">
    <w:abstractNumId w:val="13"/>
  </w:num>
  <w:num w:numId="22">
    <w:abstractNumId w:val="1"/>
  </w:num>
  <w:num w:numId="23">
    <w:abstractNumId w:val="33"/>
  </w:num>
  <w:num w:numId="24">
    <w:abstractNumId w:val="10"/>
  </w:num>
  <w:num w:numId="25">
    <w:abstractNumId w:val="39"/>
  </w:num>
  <w:num w:numId="26">
    <w:abstractNumId w:val="17"/>
  </w:num>
  <w:num w:numId="27">
    <w:abstractNumId w:val="34"/>
  </w:num>
  <w:num w:numId="28">
    <w:abstractNumId w:val="38"/>
  </w:num>
  <w:num w:numId="29">
    <w:abstractNumId w:val="44"/>
  </w:num>
  <w:num w:numId="30">
    <w:abstractNumId w:val="26"/>
  </w:num>
  <w:num w:numId="31">
    <w:abstractNumId w:val="2"/>
  </w:num>
  <w:num w:numId="32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29"/>
  </w:num>
  <w:num w:numId="40">
    <w:abstractNumId w:val="21"/>
  </w:num>
  <w:num w:numId="41">
    <w:abstractNumId w:val="41"/>
  </w:num>
  <w:num w:numId="42">
    <w:abstractNumId w:val="37"/>
  </w:num>
  <w:num w:numId="43">
    <w:abstractNumId w:val="22"/>
  </w:num>
  <w:num w:numId="44">
    <w:abstractNumId w:val="43"/>
  </w:num>
  <w:num w:numId="45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0375E"/>
    <w:rsid w:val="000227BA"/>
    <w:rsid w:val="000361D0"/>
    <w:rsid w:val="00053253"/>
    <w:rsid w:val="0006248B"/>
    <w:rsid w:val="000656BE"/>
    <w:rsid w:val="000C5C0E"/>
    <w:rsid w:val="000E21C5"/>
    <w:rsid w:val="001014BF"/>
    <w:rsid w:val="00107E41"/>
    <w:rsid w:val="00126AAE"/>
    <w:rsid w:val="00146D7D"/>
    <w:rsid w:val="00177FBD"/>
    <w:rsid w:val="001A7832"/>
    <w:rsid w:val="001C611C"/>
    <w:rsid w:val="00236E31"/>
    <w:rsid w:val="00262E7E"/>
    <w:rsid w:val="00265E1A"/>
    <w:rsid w:val="00277163"/>
    <w:rsid w:val="0029524C"/>
    <w:rsid w:val="002959D6"/>
    <w:rsid w:val="002B2911"/>
    <w:rsid w:val="0030003E"/>
    <w:rsid w:val="00312522"/>
    <w:rsid w:val="003132D1"/>
    <w:rsid w:val="00334116"/>
    <w:rsid w:val="003347FF"/>
    <w:rsid w:val="003613A8"/>
    <w:rsid w:val="003726FA"/>
    <w:rsid w:val="00373F41"/>
    <w:rsid w:val="00375F10"/>
    <w:rsid w:val="00397E65"/>
    <w:rsid w:val="003A3BD5"/>
    <w:rsid w:val="003A6BB2"/>
    <w:rsid w:val="003D5F81"/>
    <w:rsid w:val="0044513A"/>
    <w:rsid w:val="00483EBD"/>
    <w:rsid w:val="004A1DDD"/>
    <w:rsid w:val="004A42E8"/>
    <w:rsid w:val="004B0A3B"/>
    <w:rsid w:val="004C4851"/>
    <w:rsid w:val="004D07AC"/>
    <w:rsid w:val="00522594"/>
    <w:rsid w:val="0053138D"/>
    <w:rsid w:val="0056151E"/>
    <w:rsid w:val="00563377"/>
    <w:rsid w:val="00565C00"/>
    <w:rsid w:val="005A5B15"/>
    <w:rsid w:val="005B5562"/>
    <w:rsid w:val="005C2FCC"/>
    <w:rsid w:val="005C5273"/>
    <w:rsid w:val="005E3096"/>
    <w:rsid w:val="005F5335"/>
    <w:rsid w:val="0061690A"/>
    <w:rsid w:val="006335A6"/>
    <w:rsid w:val="00692931"/>
    <w:rsid w:val="006B3DA0"/>
    <w:rsid w:val="006C1531"/>
    <w:rsid w:val="006F758C"/>
    <w:rsid w:val="00705CC1"/>
    <w:rsid w:val="007209B3"/>
    <w:rsid w:val="0074219B"/>
    <w:rsid w:val="00770ED5"/>
    <w:rsid w:val="0077256F"/>
    <w:rsid w:val="00777487"/>
    <w:rsid w:val="007941AE"/>
    <w:rsid w:val="007A4857"/>
    <w:rsid w:val="007D1668"/>
    <w:rsid w:val="007D7048"/>
    <w:rsid w:val="007E3CC5"/>
    <w:rsid w:val="00824636"/>
    <w:rsid w:val="008273DA"/>
    <w:rsid w:val="008411B6"/>
    <w:rsid w:val="0087061C"/>
    <w:rsid w:val="00895DA2"/>
    <w:rsid w:val="0089659F"/>
    <w:rsid w:val="008D144E"/>
    <w:rsid w:val="00906606"/>
    <w:rsid w:val="009306E8"/>
    <w:rsid w:val="00982596"/>
    <w:rsid w:val="00987B02"/>
    <w:rsid w:val="009A1041"/>
    <w:rsid w:val="009D7E47"/>
    <w:rsid w:val="009E4A30"/>
    <w:rsid w:val="009F6597"/>
    <w:rsid w:val="00A2014A"/>
    <w:rsid w:val="00A33923"/>
    <w:rsid w:val="00A379FF"/>
    <w:rsid w:val="00A4786C"/>
    <w:rsid w:val="00A53AB6"/>
    <w:rsid w:val="00AA5EA3"/>
    <w:rsid w:val="00AB1BD0"/>
    <w:rsid w:val="00AB4BFC"/>
    <w:rsid w:val="00AE180F"/>
    <w:rsid w:val="00AE202D"/>
    <w:rsid w:val="00B10349"/>
    <w:rsid w:val="00B11AD9"/>
    <w:rsid w:val="00B25076"/>
    <w:rsid w:val="00B525BD"/>
    <w:rsid w:val="00B57ADD"/>
    <w:rsid w:val="00BF3BE9"/>
    <w:rsid w:val="00BF680B"/>
    <w:rsid w:val="00C2170F"/>
    <w:rsid w:val="00C644C6"/>
    <w:rsid w:val="00C70E43"/>
    <w:rsid w:val="00CA1B89"/>
    <w:rsid w:val="00CF7292"/>
    <w:rsid w:val="00D24A60"/>
    <w:rsid w:val="00D36AAE"/>
    <w:rsid w:val="00D5013B"/>
    <w:rsid w:val="00D7348B"/>
    <w:rsid w:val="00D93DC9"/>
    <w:rsid w:val="00DA4A84"/>
    <w:rsid w:val="00DC79ED"/>
    <w:rsid w:val="00DE6A6A"/>
    <w:rsid w:val="00DF14E2"/>
    <w:rsid w:val="00E536F6"/>
    <w:rsid w:val="00E636E8"/>
    <w:rsid w:val="00EA5FBC"/>
    <w:rsid w:val="00ED444D"/>
    <w:rsid w:val="00EE1064"/>
    <w:rsid w:val="00EE2781"/>
    <w:rsid w:val="00F20711"/>
    <w:rsid w:val="00F213B3"/>
    <w:rsid w:val="00F22A7B"/>
    <w:rsid w:val="00F73A3E"/>
    <w:rsid w:val="00F84510"/>
    <w:rsid w:val="00FE32AF"/>
    <w:rsid w:val="00FE338A"/>
    <w:rsid w:val="00FE3D58"/>
    <w:rsid w:val="00FE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42E8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00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5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42E8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00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5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7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D5D5D5"/>
            <w:right w:val="none" w:sz="0" w:space="0" w:color="auto"/>
          </w:divBdr>
        </w:div>
        <w:div w:id="16874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5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D5D5D5"/>
            <w:right w:val="none" w:sz="0" w:space="0" w:color="auto"/>
          </w:divBdr>
        </w:div>
        <w:div w:id="752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646</Words>
  <Characters>3362</Characters>
  <Application>Microsoft Office Word</Application>
  <DocSecurity>0</DocSecurity>
  <Lines>58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Chaîne TIC</vt:lpstr>
    </vt:vector>
  </TitlesOfParts>
  <Company>PRIVE</Company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Chaîne TIC</dc:title>
  <dc:creator>AMI</dc:creator>
  <cp:lastModifiedBy>AMI</cp:lastModifiedBy>
  <cp:revision>9</cp:revision>
  <cp:lastPrinted>2016-01-15T08:56:00Z</cp:lastPrinted>
  <dcterms:created xsi:type="dcterms:W3CDTF">2022-11-27T08:50:00Z</dcterms:created>
  <dcterms:modified xsi:type="dcterms:W3CDTF">2022-12-05T14:50:00Z</dcterms:modified>
</cp:coreProperties>
</file>