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;Gérer les actifs R 55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3.0" w:type="dxa"/>
        <w:jc w:val="left"/>
        <w:tblInd w:w="-108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1E0"/>
      </w:tblPr>
      <w:tblGrid>
        <w:gridCol w:w="2088"/>
        <w:gridCol w:w="7975"/>
        <w:tblGridChange w:id="0">
          <w:tblGrid>
            <w:gridCol w:w="2088"/>
            <w:gridCol w:w="7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processus de réalisation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finalité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identifier les actifs de l’organisation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préserver les actifs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attribuer un responsable (propriétaire) pour chaque actif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pilote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responsable sécurité de l’information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risques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identifier et inventorier certains actifs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évaluer les risques liés aux actifs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comprendre les exigences des parties intéressées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prendre en compte les risques identifiés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attribuer des actifs à des personnes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préserver les actifs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gérer les incidents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posséder toutes les licences des logiciels utilisés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 pas avoir un inventaire des actifs exhaustif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processus amont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planifier le SMSI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apprécier les risques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traiter les risques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acquérir et maintenir les infrastructures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appliquer la sécurité de l’information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acheter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processus aval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maintenir les équipements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gérer la chaîne TIC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gérer les incidents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gérer la configuration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gérer les changements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améliorer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éléments d'entrée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actifs disponibles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risques identifiés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actifs restitués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actifs nouveaux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activités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(sous-processus)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identifier les actifs de l’organisation :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matériel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logiciels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machines virtuelles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installations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enregistrements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tenir à jour l’inventaire des actifs (changements, nouveaux actifs)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attribuer le propriétaire et la localisation de l’actif dans l’inventaire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gérer la restitution des actifs (fin de contrat ou changement de poste)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établir les liens entre les différents actifs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définir les restrictions de chaque actif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classer les actifs selon leur importance 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le plus critique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le plus coûteux à protéger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108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le plus coûteux à remplacer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éléments de sortie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inventaire des actifs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consignes concernant certain actifs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ressources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moyens techniques et informatiques, licences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indicateurs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taux de disponibilité de l’information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bookmarkStart w:colFirst="0" w:colLast="0" w:name="_heading=h.mqmoeztyot06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taux d’incidents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procédures / documents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droits d’accès, chaîne TIC, restrictions d’accès, incidents, restrictions d’accès, gestion des vulnérabilités / enregistrement et désinscription, distribution des accès, registre des incidents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clients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l’ensemble du personnel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Glossaire 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TIC : technologie de l’information et de la communication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1407795" cy="4635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6865" y="3552988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les actifs / R 55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1407795" cy="463550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795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165100</wp:posOffset>
                </wp:positionV>
                <wp:extent cx="3146425" cy="75057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77550" y="3409478"/>
                          <a:ext cx="3136900" cy="74104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identifier les actifs de l’organisation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préserver les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attribuer un responsable (propriétaire) pour chaque actif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165100</wp:posOffset>
                </wp:positionV>
                <wp:extent cx="3146425" cy="750570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425" cy="75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165100</wp:posOffset>
                </wp:positionV>
                <wp:extent cx="1460500" cy="42164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20513" y="3573943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responsable sécurité de l’information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165100</wp:posOffset>
                </wp:positionV>
                <wp:extent cx="1460500" cy="421640"/>
                <wp:effectExtent b="0" l="0" r="0" t="0"/>
                <wp:wrapNone/>
                <wp:docPr id="5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1186815" cy="2381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57355" y="366570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processus amont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1186815" cy="238125"/>
                <wp:effectExtent b="0" l="0" r="0" t="0"/>
                <wp:wrapNone/>
                <wp:docPr id="4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81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88900</wp:posOffset>
                </wp:positionV>
                <wp:extent cx="1724025" cy="2381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488750" y="366570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processus aval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88900</wp:posOffset>
                </wp:positionV>
                <wp:extent cx="1724025" cy="238125"/>
                <wp:effectExtent b="0" l="0" r="0" t="0"/>
                <wp:wrapNone/>
                <wp:docPr id="5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88900</wp:posOffset>
                </wp:positionV>
                <wp:extent cx="3098800" cy="2381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801363" y="366570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risques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88900</wp:posOffset>
                </wp:positionV>
                <wp:extent cx="3098800" cy="238125"/>
                <wp:effectExtent b="0" l="0" r="0" t="0"/>
                <wp:wrapNone/>
                <wp:docPr id="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186815" cy="189992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57355" y="2834803"/>
                          <a:ext cx="1177290" cy="1890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planifier le SMSI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apprécier les risques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traiter les risques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acquérir et maintenir les infrastructures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appliquer la sécurité de l’information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acheter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186815" cy="1899920"/>
                <wp:effectExtent b="0" l="0" r="0" t="0"/>
                <wp:wrapNone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815" cy="189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139700</wp:posOffset>
                </wp:positionV>
                <wp:extent cx="1724025" cy="128841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88750" y="3140555"/>
                          <a:ext cx="1714500" cy="12788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maintenir les équipements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la chaîne TIC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les incidents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la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les changements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améliorer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139700</wp:posOffset>
                </wp:positionV>
                <wp:extent cx="1724025" cy="1288415"/>
                <wp:effectExtent b="0" l="0" r="0" t="0"/>
                <wp:wrapNone/>
                <wp:docPr id="5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28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127000</wp:posOffset>
                </wp:positionV>
                <wp:extent cx="3098800" cy="19113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801363" y="2829088"/>
                          <a:ext cx="3089275" cy="19018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identifier et inventorier certains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évaluer les risques liés aux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comprendre les exigences des parties intéressées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prendre en compte les risques identifiés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attribuer des actifs à des personnes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préserver les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gérer les incidents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posséder toutes les licences des logiciels utilisés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 pas avoir un inventaire des actifs exhaustif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127000</wp:posOffset>
                </wp:positionV>
                <wp:extent cx="3098800" cy="1911350"/>
                <wp:effectExtent b="0" l="0" r="0" t="0"/>
                <wp:wrapNone/>
                <wp:docPr id="4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0" cy="191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06195" cy="2381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97665" y="366570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éléments d'entrée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06195" cy="238125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3177166" cy="2381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62180" y="366570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activités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3177166" cy="23812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716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377390" cy="2381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62068" y="366570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éléments de sortie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377390" cy="238125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39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306195" cy="768537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97665" y="3400494"/>
                          <a:ext cx="1296670" cy="7590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actifs disponibles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risques identifiés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actifs restitués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actifs nouveaux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306195" cy="768537"/>
                <wp:effectExtent b="0" l="0" r="0" t="0"/>
                <wp:wrapNone/>
                <wp:docPr id="4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76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</wp:posOffset>
                </wp:positionV>
                <wp:extent cx="3177540" cy="2519643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61993" y="2524941"/>
                          <a:ext cx="3168015" cy="251011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identifier les actifs de l’organisation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matériel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logiciels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machines virtuelles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installations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enregistrements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tenir à jour l’inventaire des actifs (changements, nouveaux actifs)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attribuer le propriétaire et la localisation de l’actif dans l’inventaire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gérer la restitution des actifs (fin de contrat ou changement de poste)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établir les liens entre les différents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définir les restrictions de chaque actif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classer les actifs selon leur importance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 plus critique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 plus coûteux à protéger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 plus coûteux à remplacer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</wp:posOffset>
                </wp:positionV>
                <wp:extent cx="3177540" cy="2519643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7540" cy="2519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50800</wp:posOffset>
                </wp:positionV>
                <wp:extent cx="1377315" cy="87566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62105" y="3346930"/>
                          <a:ext cx="1367790" cy="866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inventaire des actifs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consignes concernant certain actifs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50800</wp:posOffset>
                </wp:positionV>
                <wp:extent cx="1377315" cy="875665"/>
                <wp:effectExtent b="0" l="0" r="0" t="0"/>
                <wp:wrapNone/>
                <wp:docPr id="5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315" cy="875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635" cy="25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2970" y="3779683"/>
                          <a:ext cx="226060" cy="635"/>
                        </a:xfrm>
                        <a:custGeom>
                          <a:rect b="b" l="l" r="r" t="t"/>
                          <a:pathLst>
                            <a:path extrusionOk="0" h="1" w="356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635" cy="25400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635" cy="254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32970" y="3779683"/>
                          <a:ext cx="226060" cy="635"/>
                        </a:xfrm>
                        <a:custGeom>
                          <a:rect b="b" l="l" r="r" t="t"/>
                          <a:pathLst>
                            <a:path extrusionOk="0" h="1" w="356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635" cy="25400"/>
                <wp:effectExtent b="0" l="0" r="0" t="0"/>
                <wp:wrapNone/>
                <wp:docPr id="4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66800" cy="27178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17363" y="3648873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ressources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66800" cy="271780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686685" cy="27178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07420" y="3648873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procédures / documents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686685" cy="271780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68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1271270" cy="27178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15128" y="3648873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clients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1271270" cy="271780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38100</wp:posOffset>
                </wp:positionV>
                <wp:extent cx="947420" cy="27178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77053" y="3648873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indicateurs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38100</wp:posOffset>
                </wp:positionV>
                <wp:extent cx="947420" cy="271780"/>
                <wp:effectExtent b="0" l="0" r="0" t="0"/>
                <wp:wrapNone/>
                <wp:docPr id="4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42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1066800" cy="696819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17363" y="3436353"/>
                          <a:ext cx="1057275" cy="68729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moyens techniques et informatiques, licences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1066800" cy="696819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696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127000</wp:posOffset>
                </wp:positionV>
                <wp:extent cx="2686685" cy="82804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07420" y="3370743"/>
                          <a:ext cx="2677160" cy="8185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droits d’accès, chaîne TIC, restrictions d’accès, incidents, restrictions d’accès, gestion des vulnérabilités / enregistrement et désinscription, distribution des accès, registre des incidents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127000</wp:posOffset>
                </wp:positionV>
                <wp:extent cx="2686685" cy="828040"/>
                <wp:effectExtent b="0" l="0" r="0" t="0"/>
                <wp:wrapNone/>
                <wp:docPr id="5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685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127000</wp:posOffset>
                </wp:positionV>
                <wp:extent cx="1271270" cy="42164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15128" y="3573943"/>
                          <a:ext cx="1261745" cy="4121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l’ensemble du personnel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127000</wp:posOffset>
                </wp:positionV>
                <wp:extent cx="1271270" cy="421640"/>
                <wp:effectExtent b="0" l="0" r="0" t="0"/>
                <wp:wrapNone/>
                <wp:docPr id="5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114300</wp:posOffset>
                </wp:positionV>
                <wp:extent cx="947420" cy="83947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77053" y="3365028"/>
                          <a:ext cx="937895" cy="8299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taux de disponibilité de l’information, taux d’incidents</w:t>
                            </w:r>
                          </w:p>
                        </w:txbxContent>
                      </wps:txbx>
                      <wps:bodyPr anchorCtr="0" anchor="t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114300</wp:posOffset>
                </wp:positionV>
                <wp:extent cx="947420" cy="839470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420" cy="839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99" w:top="540" w:left="141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3333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333399"/>
        <w:sz w:val="20"/>
        <w:szCs w:val="20"/>
        <w:u w:val="none"/>
        <w:shd w:fill="auto" w:val="clear"/>
        <w:vertAlign w:val="baseline"/>
        <w:rtl w:val="0"/>
      </w:rPr>
      <w:t xml:space="preserve">www.pqb.fr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33339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333399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333399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44"/>
      <w:szCs w:val="44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Numrodepage">
    <w:name w:val="page number"/>
    <w:basedOn w:val="Policepardfaut"/>
    <w:semiHidden w:val="1"/>
  </w:style>
  <w:style w:type="paragraph" w:styleId="NormalWeb">
    <w:name w:val="Normal (Web)"/>
    <w:basedOn w:val="Normal"/>
    <w:semiHidden w:val="1"/>
    <w:pPr>
      <w:spacing w:after="100" w:afterAutospacing="1" w:before="100" w:beforeAutospacing="1"/>
    </w:pPr>
  </w:style>
  <w:style w:type="paragraph" w:styleId="En-tte">
    <w:name w:val="header"/>
    <w:basedOn w:val="Normal"/>
    <w:semiHidden w:val="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 w:val="1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 w:val="1"/>
    <w:pPr>
      <w:ind w:firstLine="360"/>
      <w:jc w:val="both"/>
    </w:pPr>
    <w:rPr>
      <w:rFonts w:ascii="Arial" w:cs="Arial" w:hAnsi="Arial"/>
    </w:rPr>
  </w:style>
  <w:style w:type="paragraph" w:styleId="Retraitcorpsdetexte2">
    <w:name w:val="Body Text Indent 2"/>
    <w:basedOn w:val="Normal"/>
    <w:semiHidden w:val="1"/>
    <w:pPr>
      <w:ind w:firstLine="708"/>
      <w:jc w:val="both"/>
    </w:pPr>
    <w:rPr>
      <w:rFonts w:ascii="Arial" w:cs="Arial" w:hAnsi="Arial"/>
    </w:rPr>
  </w:style>
  <w:style w:type="paragraph" w:styleId="Corpsdetexte2">
    <w:name w:val="Body Text 2"/>
    <w:basedOn w:val="Normal"/>
    <w:semiHidden w:val="1"/>
    <w:rPr>
      <w:rFonts w:ascii="Arial" w:cs="Arial" w:hAnsi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A52EB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A52EB"/>
    <w:rPr>
      <w:rFonts w:ascii="Tahoma" w:cs="Tahoma" w:hAnsi="Tahoma"/>
      <w:sz w:val="16"/>
      <w:szCs w:val="16"/>
      <w:lang w:eastAsia="fr-FR" w:val="fr-FR"/>
    </w:rPr>
  </w:style>
  <w:style w:type="paragraph" w:styleId="Paragraphedeliste">
    <w:name w:val="List Paragraph"/>
    <w:basedOn w:val="Normal"/>
    <w:uiPriority w:val="34"/>
    <w:qFormat w:val="1"/>
    <w:rsid w:val="000955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gJqIvoXc3GqU09aDjvroy4qe6w==">CgMxLjAyDmgubXFtb2V6dHlvdDA2OAByITFDQXdnZDBVdzBVbnl5Wng0TmtXcEhzQkNRLWhUdUpQeg==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2022-11-22T15:00:00Z</dcterms:created>
  <dc:creator>AMI</dc:creator>
</cp:coreProperties>
</file>