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94311B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9E542A" w:rsidP="009E542A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Liste des informations documentées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94311B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9E542A">
              <w:rPr>
                <w:rFonts w:ascii="Arial" w:hAnsi="Arial" w:cs="Arial"/>
              </w:rPr>
              <w:t>1</w:t>
            </w:r>
            <w:r w:rsidR="0094311B">
              <w:rPr>
                <w:rFonts w:ascii="Arial" w:hAnsi="Arial" w:cs="Arial"/>
              </w:rPr>
              <w:t>5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9B15F4" w:rsidRPr="009D2BB3" w:rsidRDefault="009B15F4" w:rsidP="009B15F4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9B15F4" w:rsidRPr="009D2BB3" w:rsidRDefault="009B15F4" w:rsidP="009B15F4">
      <w:pPr>
        <w:rPr>
          <w:rFonts w:ascii="Arial" w:hAnsi="Arial" w:cs="Arial"/>
        </w:rPr>
      </w:pPr>
    </w:p>
    <w:p w:rsidR="009B15F4" w:rsidRPr="009D2BB3" w:rsidRDefault="009B15F4" w:rsidP="009B15F4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4C162F" w:rsidRDefault="004C162F" w:rsidP="004C162F"/>
    <w:p w:rsidR="004C162F" w:rsidRPr="009E542A" w:rsidRDefault="009E542A" w:rsidP="004C162F">
      <w:pPr>
        <w:rPr>
          <w:rFonts w:ascii="Arial" w:hAnsi="Arial" w:cs="Arial"/>
        </w:rPr>
      </w:pPr>
      <w:r w:rsidRPr="009E542A">
        <w:rPr>
          <w:rFonts w:ascii="Arial" w:hAnsi="Arial" w:cs="Arial"/>
        </w:rPr>
        <w:t>Exemple de liste :</w:t>
      </w:r>
    </w:p>
    <w:p w:rsidR="00284BE0" w:rsidRDefault="00284BE0"/>
    <w:tbl>
      <w:tblPr>
        <w:tblStyle w:val="Grilleclaire-Accent5"/>
        <w:tblW w:w="5056" w:type="pct"/>
        <w:tblInd w:w="-6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"/>
        <w:gridCol w:w="1659"/>
        <w:gridCol w:w="239"/>
        <w:gridCol w:w="3377"/>
        <w:gridCol w:w="58"/>
        <w:gridCol w:w="104"/>
        <w:gridCol w:w="1244"/>
        <w:gridCol w:w="21"/>
        <w:gridCol w:w="10"/>
        <w:gridCol w:w="906"/>
        <w:gridCol w:w="62"/>
        <w:gridCol w:w="848"/>
        <w:gridCol w:w="1123"/>
      </w:tblGrid>
      <w:tr w:rsidR="00867B32" w:rsidRPr="00867B32" w:rsidTr="00BF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867B32" w:rsidRDefault="0094311B" w:rsidP="0094311B">
            <w:pPr>
              <w:jc w:val="center"/>
              <w:rPr>
                <w:rFonts w:ascii="Arial" w:hAnsi="Arial" w:cs="Arial"/>
                <w:b/>
                <w:bCs/>
                <w:color w:val="002060"/>
              </w:rPr>
            </w:pPr>
            <w:r w:rsidRPr="00867B32">
              <w:rPr>
                <w:rFonts w:ascii="Arial" w:hAnsi="Arial" w:cs="Arial"/>
                <w:b/>
                <w:color w:val="002060"/>
                <w:sz w:val="22"/>
                <w:szCs w:val="22"/>
              </w:rPr>
              <w:t>N°</w:t>
            </w:r>
          </w:p>
        </w:tc>
        <w:tc>
          <w:tcPr>
            <w:tcW w:w="788" w:type="pct"/>
          </w:tcPr>
          <w:p w:rsidR="0094311B" w:rsidRPr="00867B32" w:rsidRDefault="0094311B" w:rsidP="0094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</w:rPr>
            </w:pPr>
            <w:r w:rsidRPr="00867B32">
              <w:rPr>
                <w:rFonts w:ascii="Arial" w:hAnsi="Arial" w:cs="Arial"/>
                <w:b/>
                <w:bCs/>
                <w:color w:val="002060"/>
              </w:rPr>
              <w:t>Codification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7" w:type="pct"/>
            <w:gridSpan w:val="2"/>
          </w:tcPr>
          <w:p w:rsidR="0094311B" w:rsidRPr="00867B32" w:rsidRDefault="0094311B" w:rsidP="0094311B">
            <w:pPr>
              <w:rPr>
                <w:rFonts w:ascii="Arial" w:hAnsi="Arial" w:cs="Arial"/>
                <w:b/>
                <w:bCs/>
                <w:color w:val="002060"/>
                <w:lang w:val="en-GB"/>
              </w:rPr>
            </w:pPr>
            <w:r w:rsidRPr="00867B32">
              <w:rPr>
                <w:rFonts w:ascii="Arial" w:hAnsi="Arial" w:cs="Arial"/>
                <w:b/>
                <w:bCs/>
                <w:color w:val="002060"/>
              </w:rPr>
              <w:t>Intitulé</w:t>
            </w:r>
          </w:p>
          <w:p w:rsidR="0094311B" w:rsidRPr="00867B32" w:rsidRDefault="0094311B" w:rsidP="0094311B">
            <w:pPr>
              <w:rPr>
                <w:rFonts w:ascii="Arial" w:hAnsi="Arial" w:cs="Arial"/>
                <w:b/>
                <w:color w:val="002060"/>
              </w:rPr>
            </w:pPr>
          </w:p>
        </w:tc>
        <w:tc>
          <w:tcPr>
            <w:tcW w:w="703" w:type="pct"/>
            <w:gridSpan w:val="3"/>
          </w:tcPr>
          <w:p w:rsidR="0094311B" w:rsidRPr="00867B32" w:rsidRDefault="0094311B" w:rsidP="0086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2060"/>
              </w:rPr>
            </w:pPr>
            <w:r w:rsidRPr="00867B32">
              <w:rPr>
                <w:rFonts w:ascii="Arial" w:hAnsi="Arial" w:cs="Arial"/>
                <w:b/>
                <w:bCs/>
                <w:color w:val="002060"/>
              </w:rPr>
              <w:t>Paragraphe et annexe ISO 27001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6" w:type="pct"/>
            <w:gridSpan w:val="3"/>
          </w:tcPr>
          <w:p w:rsidR="0094311B" w:rsidRPr="00867B32" w:rsidRDefault="0094311B" w:rsidP="0094311B">
            <w:pPr>
              <w:jc w:val="center"/>
              <w:rPr>
                <w:rFonts w:ascii="Arial" w:hAnsi="Arial" w:cs="Arial"/>
                <w:b/>
                <w:bCs/>
                <w:color w:val="002060"/>
              </w:rPr>
            </w:pPr>
            <w:r w:rsidRPr="00867B32">
              <w:rPr>
                <w:rFonts w:ascii="Arial" w:hAnsi="Arial" w:cs="Arial"/>
                <w:b/>
                <w:bCs/>
                <w:color w:val="002060"/>
              </w:rPr>
              <w:t>Version</w:t>
            </w:r>
          </w:p>
        </w:tc>
        <w:tc>
          <w:tcPr>
            <w:tcW w:w="456" w:type="pct"/>
            <w:gridSpan w:val="2"/>
          </w:tcPr>
          <w:p w:rsidR="0094311B" w:rsidRPr="00867B32" w:rsidRDefault="0094311B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2060"/>
              </w:rPr>
            </w:pPr>
            <w:r w:rsidRPr="00867B32">
              <w:rPr>
                <w:rFonts w:ascii="Arial" w:hAnsi="Arial" w:cs="Arial"/>
                <w:b/>
                <w:bCs/>
                <w:color w:val="002060"/>
              </w:rPr>
              <w:t>Auteur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867B32" w:rsidRDefault="0094311B" w:rsidP="0094311B">
            <w:pPr>
              <w:jc w:val="center"/>
              <w:rPr>
                <w:rFonts w:ascii="Arial" w:hAnsi="Arial" w:cs="Arial"/>
                <w:b/>
                <w:bCs/>
                <w:color w:val="002060"/>
              </w:rPr>
            </w:pPr>
            <w:r w:rsidRPr="00867B32">
              <w:rPr>
                <w:rFonts w:ascii="Arial" w:hAnsi="Arial" w:cs="Arial"/>
                <w:b/>
                <w:bCs/>
                <w:color w:val="002060"/>
              </w:rPr>
              <w:t xml:space="preserve">Durée de </w:t>
            </w:r>
            <w:proofErr w:type="spellStart"/>
            <w:r w:rsidRPr="00867B32">
              <w:rPr>
                <w:rFonts w:ascii="Arial" w:hAnsi="Arial" w:cs="Arial"/>
                <w:b/>
                <w:bCs/>
                <w:color w:val="002060"/>
              </w:rPr>
              <w:t>conser-vation</w:t>
            </w:r>
            <w:proofErr w:type="spellEnd"/>
          </w:p>
        </w:tc>
      </w:tr>
      <w:tr w:rsidR="00867B32" w:rsidRPr="00DF132D" w:rsidTr="00BF03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788" w:type="pct"/>
          </w:tcPr>
          <w:p w:rsidR="0094311B" w:rsidRPr="00F235AE" w:rsidRDefault="0094311B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PQBE24v22A08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7" w:type="pct"/>
            <w:gridSpan w:val="2"/>
          </w:tcPr>
          <w:p w:rsidR="0094311B" w:rsidRPr="00F235AE" w:rsidRDefault="0094311B" w:rsidP="0094311B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Manuel SI</w:t>
            </w:r>
          </w:p>
        </w:tc>
        <w:tc>
          <w:tcPr>
            <w:tcW w:w="703" w:type="pct"/>
            <w:gridSpan w:val="3"/>
          </w:tcPr>
          <w:p w:rsidR="0094311B" w:rsidRPr="00DF132D" w:rsidRDefault="0094311B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2060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4.4 ; 5.2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6" w:type="pct"/>
            <w:gridSpan w:val="3"/>
          </w:tcPr>
          <w:p w:rsidR="0094311B" w:rsidRPr="00DF132D" w:rsidRDefault="0094311B" w:rsidP="0094311B">
            <w:pPr>
              <w:jc w:val="center"/>
              <w:rPr>
                <w:rFonts w:ascii="Arial" w:hAnsi="Arial" w:cs="Arial"/>
                <w:bCs/>
                <w:color w:val="002060"/>
              </w:rPr>
            </w:pPr>
          </w:p>
        </w:tc>
        <w:tc>
          <w:tcPr>
            <w:tcW w:w="456" w:type="pct"/>
            <w:gridSpan w:val="2"/>
          </w:tcPr>
          <w:p w:rsidR="0094311B" w:rsidRPr="00DF132D" w:rsidRDefault="0094311B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206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DF132D" w:rsidRDefault="0094311B" w:rsidP="0094311B">
            <w:pPr>
              <w:jc w:val="center"/>
              <w:rPr>
                <w:rFonts w:ascii="Arial" w:hAnsi="Arial" w:cs="Arial"/>
                <w:bCs/>
                <w:color w:val="002060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eastAsia="en-US"/>
              </w:rPr>
              <w:t>Processus (similaires)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Cs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iCs/>
                <w:color w:val="002060"/>
                <w:sz w:val="22"/>
                <w:szCs w:val="22"/>
                <w:lang w:eastAsia="en-US"/>
              </w:rPr>
              <w:t>Processus (* obligatoire)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PQBE02R55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les actifs*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A.5.9 ; A.5.11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PQBE02R56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les identités*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PQBE02R47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l’authentification*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A.5.17 ; A.8.5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PQBE02R46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Distribuer les accès*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A.5.18 ; A.7.2 ; A.8.2 ; A.8.7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PQBE02M22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Apprécier les risques*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6.1.2 ; 8.2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 xml:space="preserve"> ; </w:t>
            </w: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A.5.19 ; A.5.21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PQBE02M23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Traiter les risques*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6.1.3 ; 8.3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 xml:space="preserve"> ; </w:t>
            </w: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A.5.19 ; A.5.21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PQBE02R24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Maîtriser les processus externalisés*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A.5.19 ; A.8.30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PQBE02R57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la sécurité des fournisseurs*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A.5.19 ; A.5.20 ; A.5.22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PQBE02R44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Satisfaire aux exigences de sécurité*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A.5.20 ; A.5.23 ; A.5.26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PQBE02R58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la chaîne TIC*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A.5.21 ; A.8.23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PQBE02R59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les services en nuage*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PQBE02R60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les incidents*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A.5.24 ; A.5.25 ; A.5.7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PQBE02R49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la continuité d’activité*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A.5.30 ; A.5.29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PQBE02S1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Tenir à jour la veille réglementaire*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4.2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 xml:space="preserve"> ; </w:t>
            </w: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PQBE02R65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Passer en revue la sécurité*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PQBE02S15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le contrat de travail*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7.2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 xml:space="preserve"> ; </w:t>
            </w: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A.6.1 ; A.6.2 ; A.6.5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PQBE02S14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Appliquer la discipline*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7.2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 xml:space="preserve"> ; </w:t>
            </w: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A.6.4 ; A.6.6 ; A.6.7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lastRenderedPageBreak/>
              <w:t>18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PQBE02R61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les vulnérabilités*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PQBE02R62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la configuration*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A.8.9 ; A.8.32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PQBE02R63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Supprimer l’information*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A.8.10 ; A.8.13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PQBE02R39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Inspecter*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9.1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 </w:t>
            </w:r>
            <w:proofErr w:type="gramStart"/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;</w:t>
            </w: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A.8.16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PQBE02R51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spacing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Administrer les réseaux*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23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PQBE02R64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Utiliser la cryptographie*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A.8.24 ; A.7.14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PQBE02R48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spacing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Développer*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94311B" w:rsidRPr="00F235AE" w:rsidRDefault="0094311B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25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PQBE02R66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Tester*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26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PQBE02R34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les changements*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A.8.32 ; A.6.8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27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PQBE02M17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Auditer*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9.2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 xml:space="preserve"> ; </w:t>
            </w: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A.5.35 ; A.8.34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28</w:t>
            </w:r>
          </w:p>
        </w:tc>
        <w:tc>
          <w:tcPr>
            <w:tcW w:w="788" w:type="pct"/>
            <w:vAlign w:val="center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PQBE02M5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  <w:vAlign w:val="center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Développer la politique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5.2</w:t>
            </w: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 xml:space="preserve"> ; </w:t>
            </w: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A.5.1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29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PQBE02M9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Planifier le SMSI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4.4</w:t>
            </w: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 xml:space="preserve"> ; </w:t>
            </w: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A.5.4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PQBE02M4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Piloter les processus</w:t>
            </w:r>
          </w:p>
        </w:tc>
        <w:tc>
          <w:tcPr>
            <w:tcW w:w="690" w:type="pct"/>
            <w:gridSpan w:val="4"/>
            <w:vAlign w:val="center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4.4</w:t>
            </w: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 xml:space="preserve"> ; </w:t>
            </w: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A.5.4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94311B" w:rsidRPr="00F235AE" w:rsidRDefault="0094311B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31</w:t>
            </w:r>
          </w:p>
        </w:tc>
        <w:tc>
          <w:tcPr>
            <w:tcW w:w="788" w:type="pct"/>
            <w:vAlign w:val="center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PQBE02M10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  <w:vAlign w:val="center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Déployer les objectifs</w:t>
            </w:r>
          </w:p>
        </w:tc>
        <w:tc>
          <w:tcPr>
            <w:tcW w:w="690" w:type="pct"/>
            <w:gridSpan w:val="4"/>
            <w:vAlign w:val="center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6.2</w:t>
            </w: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 xml:space="preserve"> ; </w:t>
            </w: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A.5.4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32</w:t>
            </w:r>
          </w:p>
        </w:tc>
        <w:tc>
          <w:tcPr>
            <w:tcW w:w="788" w:type="pct"/>
            <w:vAlign w:val="center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PQBE02M1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  <w:vAlign w:val="center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Élaborer la stratégie</w:t>
            </w:r>
          </w:p>
        </w:tc>
        <w:tc>
          <w:tcPr>
            <w:tcW w:w="690" w:type="pct"/>
            <w:gridSpan w:val="4"/>
            <w:vAlign w:val="center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5.1</w:t>
            </w: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 xml:space="preserve"> ; </w:t>
            </w: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A.5.4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94311B" w:rsidRPr="00F235AE" w:rsidRDefault="0094311B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33</w:t>
            </w:r>
          </w:p>
        </w:tc>
        <w:tc>
          <w:tcPr>
            <w:tcW w:w="788" w:type="pct"/>
            <w:vAlign w:val="center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PQBE02S10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  <w:vAlign w:val="center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Gérer la documentation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7.5.3</w:t>
            </w: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 xml:space="preserve"> ; </w:t>
            </w: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A.5.10 ; A.5.33 ; A.5.37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94311B" w:rsidRPr="00F235AE" w:rsidRDefault="0094311B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34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PQBE02R45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Enregistrer et désinscrire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A.5.15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35</w:t>
            </w:r>
          </w:p>
        </w:tc>
        <w:tc>
          <w:tcPr>
            <w:tcW w:w="788" w:type="pct"/>
            <w:vAlign w:val="center"/>
          </w:tcPr>
          <w:p w:rsidR="0094311B" w:rsidRPr="00F235AE" w:rsidRDefault="0094311B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PQBE02S6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  <w:vAlign w:val="center"/>
          </w:tcPr>
          <w:p w:rsidR="0094311B" w:rsidRPr="00F235AE" w:rsidRDefault="0094311B" w:rsidP="0094311B">
            <w:pPr>
              <w:spacing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Dispenser la formation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  <w:r w:rsidRPr="0094311B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7.2</w:t>
            </w: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 xml:space="preserve"> ; </w:t>
            </w:r>
            <w:r w:rsidRPr="00F235AE"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  <w:t>A.6.3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36</w:t>
            </w:r>
          </w:p>
        </w:tc>
        <w:tc>
          <w:tcPr>
            <w:tcW w:w="788" w:type="pct"/>
            <w:vAlign w:val="center"/>
          </w:tcPr>
          <w:p w:rsidR="0094311B" w:rsidRPr="00F235AE" w:rsidRDefault="0094311B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PQBE02R4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  <w:vAlign w:val="center"/>
          </w:tcPr>
          <w:p w:rsidR="0094311B" w:rsidRPr="00F235AE" w:rsidRDefault="0094311B" w:rsidP="0094311B">
            <w:pPr>
              <w:spacing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Maintenir les équipements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  <w:t>A.7.1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37</w:t>
            </w:r>
          </w:p>
        </w:tc>
        <w:tc>
          <w:tcPr>
            <w:tcW w:w="788" w:type="pct"/>
            <w:vAlign w:val="center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PQBE02R50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  <w:vAlign w:val="center"/>
          </w:tcPr>
          <w:p w:rsidR="0094311B" w:rsidRPr="00F235AE" w:rsidRDefault="0094311B" w:rsidP="0094311B">
            <w:pPr>
              <w:spacing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Appliquer la sécurité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A.7.6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94311B" w:rsidRPr="00F235AE" w:rsidRDefault="0094311B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38</w:t>
            </w:r>
          </w:p>
        </w:tc>
        <w:tc>
          <w:tcPr>
            <w:tcW w:w="788" w:type="pct"/>
            <w:vAlign w:val="center"/>
          </w:tcPr>
          <w:p w:rsidR="0094311B" w:rsidRPr="00F235AE" w:rsidRDefault="0094311B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PQBE02S3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  <w:vAlign w:val="center"/>
          </w:tcPr>
          <w:p w:rsidR="0094311B" w:rsidRPr="00F235AE" w:rsidRDefault="0094311B" w:rsidP="0094311B">
            <w:pPr>
              <w:spacing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Acquérir et maintenir les infrastructures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94311B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7.1</w:t>
            </w: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 xml:space="preserve"> ; </w:t>
            </w: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A.7.13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39</w:t>
            </w:r>
          </w:p>
        </w:tc>
        <w:tc>
          <w:tcPr>
            <w:tcW w:w="788" w:type="pct"/>
            <w:vAlign w:val="center"/>
          </w:tcPr>
          <w:p w:rsidR="0094311B" w:rsidRPr="00F235AE" w:rsidRDefault="0094311B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PQBE02S4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  <w:vAlign w:val="center"/>
          </w:tcPr>
          <w:p w:rsidR="0094311B" w:rsidRPr="00F235AE" w:rsidRDefault="0094311B" w:rsidP="0094311B">
            <w:pPr>
              <w:spacing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Gérer les moyens d’inspection</w:t>
            </w:r>
          </w:p>
        </w:tc>
        <w:tc>
          <w:tcPr>
            <w:tcW w:w="690" w:type="pct"/>
            <w:gridSpan w:val="4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  <w:r w:rsidRPr="0094311B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7.1</w:t>
            </w: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 xml:space="preserve"> ; </w:t>
            </w:r>
            <w:r w:rsidRPr="00F235AE"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  <w:t>A.8.14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94311B" w:rsidRPr="00F235AE" w:rsidRDefault="0094311B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40</w:t>
            </w:r>
          </w:p>
        </w:tc>
        <w:tc>
          <w:tcPr>
            <w:tcW w:w="788" w:type="pct"/>
            <w:vAlign w:val="center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PQBE02M12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  <w:vAlign w:val="center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Communiquer</w:t>
            </w:r>
          </w:p>
        </w:tc>
        <w:tc>
          <w:tcPr>
            <w:tcW w:w="690" w:type="pct"/>
            <w:gridSpan w:val="4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94311B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7.4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41</w:t>
            </w:r>
          </w:p>
        </w:tc>
        <w:tc>
          <w:tcPr>
            <w:tcW w:w="788" w:type="pct"/>
            <w:vAlign w:val="center"/>
          </w:tcPr>
          <w:p w:rsidR="0094311B" w:rsidRPr="00F235AE" w:rsidRDefault="0094311B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PQBE02S9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  <w:vAlign w:val="center"/>
          </w:tcPr>
          <w:p w:rsidR="0094311B" w:rsidRPr="00F235AE" w:rsidRDefault="0094311B" w:rsidP="0094311B">
            <w:pPr>
              <w:spacing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Fournir l’information</w:t>
            </w:r>
          </w:p>
        </w:tc>
        <w:tc>
          <w:tcPr>
            <w:tcW w:w="690" w:type="pct"/>
            <w:gridSpan w:val="4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94311B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7.5.1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94311B" w:rsidRPr="00F235AE" w:rsidRDefault="0094311B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42</w:t>
            </w:r>
          </w:p>
        </w:tc>
        <w:tc>
          <w:tcPr>
            <w:tcW w:w="788" w:type="pct"/>
            <w:vAlign w:val="center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PQBE02R23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  <w:vAlign w:val="center"/>
          </w:tcPr>
          <w:p w:rsidR="0094311B" w:rsidRPr="00F235AE" w:rsidRDefault="0094311B" w:rsidP="0094311B">
            <w:pPr>
              <w:spacing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Acheter</w:t>
            </w:r>
          </w:p>
        </w:tc>
        <w:tc>
          <w:tcPr>
            <w:tcW w:w="690" w:type="pct"/>
            <w:gridSpan w:val="4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94311B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8.1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94311B" w:rsidRPr="00F235AE" w:rsidRDefault="0094311B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43</w:t>
            </w:r>
          </w:p>
        </w:tc>
        <w:tc>
          <w:tcPr>
            <w:tcW w:w="78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PQBE02M18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Réaliser la revue de direction</w:t>
            </w:r>
          </w:p>
        </w:tc>
        <w:tc>
          <w:tcPr>
            <w:tcW w:w="690" w:type="pct"/>
            <w:gridSpan w:val="4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94311B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9.3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44</w:t>
            </w:r>
          </w:p>
        </w:tc>
        <w:tc>
          <w:tcPr>
            <w:tcW w:w="788" w:type="pct"/>
            <w:vAlign w:val="center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PQBE02M19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Améliorer</w:t>
            </w:r>
          </w:p>
        </w:tc>
        <w:tc>
          <w:tcPr>
            <w:tcW w:w="690" w:type="pct"/>
            <w:gridSpan w:val="4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94311B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10.1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94311B" w:rsidRPr="00F235AE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788" w:type="pct"/>
            <w:vAlign w:val="center"/>
          </w:tcPr>
          <w:p w:rsidR="0094311B" w:rsidRPr="00F235AE" w:rsidRDefault="0094311B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PQBE02R40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  <w:vAlign w:val="center"/>
          </w:tcPr>
          <w:p w:rsidR="0094311B" w:rsidRPr="00F235AE" w:rsidRDefault="0094311B" w:rsidP="0094311B">
            <w:pPr>
              <w:spacing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Maîtriser les non-conformités</w:t>
            </w:r>
          </w:p>
        </w:tc>
        <w:tc>
          <w:tcPr>
            <w:tcW w:w="690" w:type="pct"/>
            <w:gridSpan w:val="4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94311B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10.2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94311B" w:rsidRPr="00F235AE" w:rsidRDefault="0094311B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46</w:t>
            </w:r>
          </w:p>
        </w:tc>
        <w:tc>
          <w:tcPr>
            <w:tcW w:w="788" w:type="pct"/>
            <w:vAlign w:val="center"/>
          </w:tcPr>
          <w:p w:rsidR="0094311B" w:rsidRPr="00F235AE" w:rsidRDefault="0094311B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PQBE02R41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5" w:type="pct"/>
            <w:gridSpan w:val="3"/>
            <w:vAlign w:val="center"/>
          </w:tcPr>
          <w:p w:rsidR="0094311B" w:rsidRPr="00F235AE" w:rsidRDefault="0094311B" w:rsidP="0094311B">
            <w:pPr>
              <w:spacing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Réaliser les actions correctives</w:t>
            </w:r>
          </w:p>
        </w:tc>
        <w:tc>
          <w:tcPr>
            <w:tcW w:w="690" w:type="pct"/>
            <w:gridSpan w:val="4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94311B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10.2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59" w:type="pct"/>
            <w:gridSpan w:val="2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94311B" w:rsidRPr="0094311B" w:rsidRDefault="0094311B" w:rsidP="0094311B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Procédure (* obligatoire)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01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Traitement de l'information*</w:t>
            </w:r>
          </w:p>
        </w:tc>
        <w:tc>
          <w:tcPr>
            <w:tcW w:w="633" w:type="pct"/>
            <w:gridSpan w:val="2"/>
            <w:vAlign w:val="center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02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Classification de l'information*</w:t>
            </w:r>
          </w:p>
        </w:tc>
        <w:tc>
          <w:tcPr>
            <w:tcW w:w="633" w:type="pct"/>
            <w:gridSpan w:val="2"/>
            <w:vAlign w:val="center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03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Marquage*</w:t>
            </w:r>
          </w:p>
        </w:tc>
        <w:tc>
          <w:tcPr>
            <w:tcW w:w="633" w:type="pct"/>
            <w:gridSpan w:val="2"/>
            <w:vAlign w:val="center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04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Transfert de l'information*</w:t>
            </w:r>
          </w:p>
        </w:tc>
        <w:tc>
          <w:tcPr>
            <w:tcW w:w="633" w:type="pct"/>
            <w:gridSpan w:val="2"/>
            <w:vAlign w:val="center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lastRenderedPageBreak/>
              <w:t>05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Gestion des identités*</w:t>
            </w:r>
          </w:p>
        </w:tc>
        <w:tc>
          <w:tcPr>
            <w:tcW w:w="633" w:type="pct"/>
            <w:gridSpan w:val="2"/>
            <w:vAlign w:val="center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06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Authentification*</w:t>
            </w:r>
          </w:p>
        </w:tc>
        <w:tc>
          <w:tcPr>
            <w:tcW w:w="633" w:type="pct"/>
            <w:gridSpan w:val="2"/>
            <w:vAlign w:val="center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A.5.17 ; A.8.5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07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Droits d'accès*</w:t>
            </w:r>
          </w:p>
        </w:tc>
        <w:tc>
          <w:tcPr>
            <w:tcW w:w="633" w:type="pct"/>
            <w:gridSpan w:val="2"/>
            <w:vAlign w:val="center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A.5.18 ; A.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5.15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08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Relations avec les fournisseurs*</w:t>
            </w:r>
          </w:p>
        </w:tc>
        <w:tc>
          <w:tcPr>
            <w:tcW w:w="633" w:type="pct"/>
            <w:gridSpan w:val="2"/>
            <w:vAlign w:val="center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A.5.19 ; A.5.20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09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Chaîne TIC*</w:t>
            </w:r>
          </w:p>
        </w:tc>
        <w:tc>
          <w:tcPr>
            <w:tcW w:w="633" w:type="pct"/>
            <w:gridSpan w:val="2"/>
            <w:vAlign w:val="center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10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Incidents*</w:t>
            </w:r>
          </w:p>
        </w:tc>
        <w:tc>
          <w:tcPr>
            <w:tcW w:w="633" w:type="pct"/>
            <w:gridSpan w:val="2"/>
            <w:vAlign w:val="center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 xml:space="preserve">A.5.24 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 xml:space="preserve">÷ </w:t>
            </w: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11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Collecte de preuves*</w:t>
            </w:r>
          </w:p>
        </w:tc>
        <w:tc>
          <w:tcPr>
            <w:tcW w:w="633" w:type="pct"/>
            <w:gridSpan w:val="2"/>
            <w:vAlign w:val="center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12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Continuité d'activité*</w:t>
            </w:r>
          </w:p>
        </w:tc>
        <w:tc>
          <w:tcPr>
            <w:tcW w:w="633" w:type="pct"/>
            <w:gridSpan w:val="2"/>
            <w:vAlign w:val="center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A.5.29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 ; A.5.30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13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Propriété intellectuelle*</w:t>
            </w:r>
          </w:p>
        </w:tc>
        <w:tc>
          <w:tcPr>
            <w:tcW w:w="633" w:type="pct"/>
            <w:gridSpan w:val="2"/>
            <w:vAlign w:val="center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14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Enregistrements*</w:t>
            </w:r>
          </w:p>
        </w:tc>
        <w:tc>
          <w:tcPr>
            <w:tcW w:w="633" w:type="pct"/>
            <w:gridSpan w:val="2"/>
            <w:vAlign w:val="center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15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Protection de la vie privée*</w:t>
            </w:r>
          </w:p>
        </w:tc>
        <w:tc>
          <w:tcPr>
            <w:tcW w:w="633" w:type="pct"/>
            <w:gridSpan w:val="2"/>
            <w:vAlign w:val="center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16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Procédures*</w:t>
            </w:r>
          </w:p>
        </w:tc>
        <w:tc>
          <w:tcPr>
            <w:tcW w:w="633" w:type="pct"/>
            <w:gridSpan w:val="2"/>
            <w:vAlign w:val="center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17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Sélection des candidats*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A.6.1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18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Sensibilisation et formation*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A.6.3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19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Déclaration des événements*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A.6.8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20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Supports de stockage*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A.7.10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21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Terminaux utilisateur*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22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Restriction d'accès*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23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Accès au code source*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24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Programmes malveillants*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25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Gestion des vulnérabilités*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26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Sauvegarde*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27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Redondance des moyens*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28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Activités de surveillance*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29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Programmes utilitaires privilégiés*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30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Installation de logiciels*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31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Sécurité des réseaux*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 xml:space="preserve">A.8.20 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÷</w:t>
            </w: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 xml:space="preserve"> A.8.22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32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Utilisation de la cryptographie*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33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Codage*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34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Séparation des environnements*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35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10v22pr35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Changements*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A.8.32 ; A.8.9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Politique (* obligatoire)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Sécurité de l'information*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5.2 ; A.5.1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Utilisation correcte de l'information*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Classification de l'information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A.5.12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4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Transfert de l'information*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lastRenderedPageBreak/>
              <w:t>5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Contrôle d'accès*</w:t>
            </w:r>
          </w:p>
        </w:tc>
        <w:tc>
          <w:tcPr>
            <w:tcW w:w="633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A.5.15 ; A.5.18 ; A.8.2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6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Droits d'accès*</w:t>
            </w:r>
          </w:p>
        </w:tc>
        <w:tc>
          <w:tcPr>
            <w:tcW w:w="633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A.5.18 ; A.8.3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7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Relations avec les fournisseurs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A.5.19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8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Utilisation des services en nuage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A.5.23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9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Propriété intellectuelle*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10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Protection des enregistrements*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11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Protection de la vie privée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A.5.34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12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Conformité aux règles et normes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A.5.36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13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Contrat de travail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A.6.2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14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Sensibilisation et formation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A.6.3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15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T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élétravail</w:t>
            </w: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A.6.7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16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Bureau propre et écran vide*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A.7.7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17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Supports de stockage*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A.7.10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18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Terminaux utilisateur*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19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Vulnérabilités techniques*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20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Sauvegarde de l’information*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21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Journalisation*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867B32" w:rsidRPr="00F235AE" w:rsidTr="00BF03FE">
        <w:tblPrEx>
          <w:tblCellMar>
            <w:left w:w="57" w:type="dxa"/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22</w:t>
            </w:r>
          </w:p>
        </w:tc>
        <w:tc>
          <w:tcPr>
            <w:tcW w:w="910" w:type="pct"/>
            <w:gridSpan w:val="2"/>
            <w:vAlign w:val="center"/>
          </w:tcPr>
          <w:p w:rsidR="00867B32" w:rsidRPr="00F235AE" w:rsidRDefault="00867B32" w:rsidP="00867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10v22po22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  <w:vAlign w:val="center"/>
          </w:tcPr>
          <w:p w:rsidR="00867B32" w:rsidRPr="00F235AE" w:rsidRDefault="00867B32" w:rsidP="00867B32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Utilisation de la cryptographie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A.8.24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Enregistrement (* obligatoire)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867B32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Enjeux externes et internes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867B32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2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Liste des parties intéressées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3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Domaine d’application*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4.3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Descriptions de fonction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 xml:space="preserve">5.3 ; </w:t>
            </w: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5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Plan de traitement des risques*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6.1.1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Critères d'acceptation des risques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6.1.2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Critères d’appréciation des risques*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6.1.2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Déclaration d'applicabilité*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6.1.3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9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Plan d’atteinte des objectifs*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6.2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10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Plan de gestion des changements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6.3 ; 8.1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11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Ressources disponibles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7.1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12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Plan de développement des compétences*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13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Plan d’augmentation de la sensibilité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7.3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14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Plan d’amélioration de la communication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7.4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15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Liste des informations documentées*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7.5.3 ; A.5.37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16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Documents d'origine externe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7.5.3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17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Codification des documents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7.5.3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18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Suivi des processus*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19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Résultats d'appréciation des risques*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lastRenderedPageBreak/>
              <w:t>20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Résultats du traitement des risques*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21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Résultats des surveillances et des mesures*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9.1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22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Programme d'audit*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9.2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23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Rapport d'audit*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9.2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24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Décisions de la revue de direction*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9.3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25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Plan d’amélioration du SMSI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26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Nature des non-conformités*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27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Résultats des actions correctives*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28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Engagement des règles sécurité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29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Notification des autorités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30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Inventaire des actifs*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A.5.9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31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Règles d'utilisation des actifs*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 xml:space="preserve">A.5.10 ; </w:t>
            </w:r>
            <w:r w:rsidR="0080789C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</w:t>
            </w:r>
            <w:bookmarkStart w:id="0" w:name="_GoBack"/>
            <w:bookmarkEnd w:id="0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5.11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32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Plan de classification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33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Données de transfert*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34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Enregistrement et désinscription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35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Engagement d’utilisateur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A.5.17 ; A.6.6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36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Mot de passe*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A.5.17 ; A.8.5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37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Distribution des accès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38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Revue des droits d’accès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39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Sécurité de l'information avec les fournisseurs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40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Accord fournisseur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41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Performance fournisseur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42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Changements des services des fournisseurs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A.5.22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43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Plan de gestion des incidents*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44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Registre des incidents*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A.5.24 ; A.5.26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45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Événements de sécurité de l’information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A.5.25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46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Liste de preuves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A.5.28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47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Plan de continuité d’activité</w:t>
            </w:r>
            <w:r w:rsidR="00C7454B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A.5.29 ; A.5.30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48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Liste des exigences*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49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Registre des licences*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50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Protection des enregistrements*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51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Résultats des revues de sécurité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A.5.35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52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Rapport d’action corrective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A.5.36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53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Termes et conditions d'embauche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A.6.1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54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 xml:space="preserve">Programme de formation 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A.6.3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55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Attestation de présence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A.6.3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lastRenderedPageBreak/>
              <w:t>56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Règles disciplinaires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A.6.4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57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Règles de rupture de contrat*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A.6.5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58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Engagement de confidentialité*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A.6.6 ; A.6.2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59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Sécurité pour le télétravail*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A.6.7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60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Périmètre de sécurité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A.7.1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61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Accès visiteurs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A.7.2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62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Protection des matériels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A.7.5 ; A.7.8 ; A.7.7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63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Sortie des actifs*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A.7.9 ; A.7.10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64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Inventaire des rebuts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A.7.10 ; A.7.14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65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Protection des supports lors du transport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A.7.10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66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Contacts d’urgence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A.7.11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67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Sécurité du câblage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A.7.12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68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PQBE10v22e68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Maintenance des matériels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A.7.13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69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Sécurité des appareils mobiles*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70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Connexion sans fil*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71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Accès privilégiés*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A.8.2 ; A.8.18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72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Plan de gestion de la capacité*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73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Protection contre les logiciels malveillants*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74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Registre des v</w:t>
            </w: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ulnérabilités*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75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Registre de la configuration*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76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Suppression de l’information*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77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Plan de sauvegarde*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78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Journaux des événements*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79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Surveillance*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80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Synchronisation*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81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Autorisations privilégiées*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82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Protection des réseaux*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83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Règles de filtrage*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A.8.23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84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Clés cryptographiques*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85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Application*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86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Principes d'ingénierie*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87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Codage sécurisé*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88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Plan de test*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89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Environnements*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</w:tr>
      <w:tr w:rsidR="00BF03FE" w:rsidRPr="00F235AE" w:rsidTr="00BF03FE">
        <w:tblPrEx>
          <w:tblCellMar>
            <w:lef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" w:type="pct"/>
          </w:tcPr>
          <w:p w:rsidR="00867B32" w:rsidRPr="00F235AE" w:rsidRDefault="00867B32" w:rsidP="0094311B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90</w:t>
            </w:r>
          </w:p>
        </w:tc>
        <w:tc>
          <w:tcPr>
            <w:tcW w:w="910" w:type="pct"/>
            <w:gridSpan w:val="2"/>
          </w:tcPr>
          <w:p w:rsidR="00867B32" w:rsidRPr="00F235AE" w:rsidRDefault="00867B32" w:rsidP="00943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PQBE10v22e90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pct"/>
            <w:gridSpan w:val="3"/>
          </w:tcPr>
          <w:p w:rsidR="00867B32" w:rsidRPr="00F235AE" w:rsidRDefault="00867B32" w:rsidP="00BF03FE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Demande de changement*</w:t>
            </w:r>
          </w:p>
        </w:tc>
        <w:tc>
          <w:tcPr>
            <w:tcW w:w="633" w:type="pct"/>
            <w:gridSpan w:val="2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A.8.32 ; A.8.3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0" w:type="pct"/>
            <w:gridSpan w:val="3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tcW w:w="422" w:type="pct"/>
          </w:tcPr>
          <w:p w:rsidR="00867B32" w:rsidRPr="00F235AE" w:rsidRDefault="00867B32" w:rsidP="00943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" w:type="pct"/>
          </w:tcPr>
          <w:p w:rsidR="00867B32" w:rsidRPr="00F235AE" w:rsidRDefault="00867B32" w:rsidP="0094311B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</w:p>
        </w:tc>
      </w:tr>
    </w:tbl>
    <w:p w:rsidR="0094311B" w:rsidRDefault="0094311B"/>
    <w:p w:rsidR="0027017B" w:rsidRDefault="0027017B"/>
    <w:p w:rsidR="0027017B" w:rsidRDefault="0027017B"/>
    <w:sectPr w:rsidR="0027017B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478" w:rsidRDefault="006D6478">
      <w:r>
        <w:separator/>
      </w:r>
    </w:p>
  </w:endnote>
  <w:endnote w:type="continuationSeparator" w:id="0">
    <w:p w:rsidR="006D6478" w:rsidRDefault="006D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867B32" w:rsidRPr="00D70B70" w:rsidRDefault="00867B32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80789C">
          <w:rPr>
            <w:rFonts w:ascii="Arial" w:hAnsi="Arial" w:cs="Arial"/>
            <w:i/>
            <w:noProof/>
            <w:color w:val="002060"/>
            <w:sz w:val="20"/>
            <w:szCs w:val="20"/>
          </w:rPr>
          <w:t>5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478" w:rsidRDefault="006D6478">
      <w:r>
        <w:separator/>
      </w:r>
    </w:p>
  </w:footnote>
  <w:footnote w:type="continuationSeparator" w:id="0">
    <w:p w:rsidR="006D6478" w:rsidRDefault="006D6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2B6D"/>
    <w:multiLevelType w:val="hybridMultilevel"/>
    <w:tmpl w:val="3B4E914E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D6504"/>
    <w:multiLevelType w:val="hybridMultilevel"/>
    <w:tmpl w:val="3B4E914E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76D54"/>
    <w:multiLevelType w:val="hybridMultilevel"/>
    <w:tmpl w:val="5226CC76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65647"/>
    <w:multiLevelType w:val="hybridMultilevel"/>
    <w:tmpl w:val="1084DA14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86741"/>
    <w:rsid w:val="000C5CCB"/>
    <w:rsid w:val="000D51F0"/>
    <w:rsid w:val="000E59FC"/>
    <w:rsid w:val="001261FB"/>
    <w:rsid w:val="00130929"/>
    <w:rsid w:val="001657A0"/>
    <w:rsid w:val="001A5AC9"/>
    <w:rsid w:val="00206BA2"/>
    <w:rsid w:val="002344D8"/>
    <w:rsid w:val="0027017B"/>
    <w:rsid w:val="00284BE0"/>
    <w:rsid w:val="002C7D9B"/>
    <w:rsid w:val="002D715D"/>
    <w:rsid w:val="002E2022"/>
    <w:rsid w:val="002F7CD8"/>
    <w:rsid w:val="0038607F"/>
    <w:rsid w:val="003A427C"/>
    <w:rsid w:val="003C4A74"/>
    <w:rsid w:val="003D4AD2"/>
    <w:rsid w:val="003E4F61"/>
    <w:rsid w:val="003F3998"/>
    <w:rsid w:val="003F7ACC"/>
    <w:rsid w:val="00470570"/>
    <w:rsid w:val="00490238"/>
    <w:rsid w:val="004A2B44"/>
    <w:rsid w:val="004A3919"/>
    <w:rsid w:val="004B3A07"/>
    <w:rsid w:val="004B4F61"/>
    <w:rsid w:val="004C162F"/>
    <w:rsid w:val="004C466A"/>
    <w:rsid w:val="00512A7A"/>
    <w:rsid w:val="005C184C"/>
    <w:rsid w:val="005C490B"/>
    <w:rsid w:val="005F25F8"/>
    <w:rsid w:val="0068118A"/>
    <w:rsid w:val="006D6478"/>
    <w:rsid w:val="006D718E"/>
    <w:rsid w:val="006F30D0"/>
    <w:rsid w:val="007402C7"/>
    <w:rsid w:val="00741CB8"/>
    <w:rsid w:val="00751088"/>
    <w:rsid w:val="0077534A"/>
    <w:rsid w:val="007D04DD"/>
    <w:rsid w:val="0080789C"/>
    <w:rsid w:val="008148DD"/>
    <w:rsid w:val="00837810"/>
    <w:rsid w:val="008619FA"/>
    <w:rsid w:val="00867B32"/>
    <w:rsid w:val="009070D6"/>
    <w:rsid w:val="00920E0E"/>
    <w:rsid w:val="0092269F"/>
    <w:rsid w:val="009326C4"/>
    <w:rsid w:val="0094311B"/>
    <w:rsid w:val="0099615C"/>
    <w:rsid w:val="009B15F4"/>
    <w:rsid w:val="009E542A"/>
    <w:rsid w:val="009E713C"/>
    <w:rsid w:val="009F77CF"/>
    <w:rsid w:val="00A11D27"/>
    <w:rsid w:val="00A647B4"/>
    <w:rsid w:val="00A9076B"/>
    <w:rsid w:val="00AC6874"/>
    <w:rsid w:val="00AD1F7B"/>
    <w:rsid w:val="00AF0BA3"/>
    <w:rsid w:val="00B330FA"/>
    <w:rsid w:val="00B35408"/>
    <w:rsid w:val="00B355BD"/>
    <w:rsid w:val="00B512F5"/>
    <w:rsid w:val="00B55115"/>
    <w:rsid w:val="00BA052A"/>
    <w:rsid w:val="00BA3746"/>
    <w:rsid w:val="00BA48CE"/>
    <w:rsid w:val="00BB4C31"/>
    <w:rsid w:val="00BF03FE"/>
    <w:rsid w:val="00C043A2"/>
    <w:rsid w:val="00C11799"/>
    <w:rsid w:val="00C165E0"/>
    <w:rsid w:val="00C26606"/>
    <w:rsid w:val="00C34BB4"/>
    <w:rsid w:val="00C7454B"/>
    <w:rsid w:val="00C76DFA"/>
    <w:rsid w:val="00D52BEE"/>
    <w:rsid w:val="00D52CDB"/>
    <w:rsid w:val="00D60A06"/>
    <w:rsid w:val="00D70B70"/>
    <w:rsid w:val="00D7234E"/>
    <w:rsid w:val="00D935F2"/>
    <w:rsid w:val="00D95E63"/>
    <w:rsid w:val="00DA0E66"/>
    <w:rsid w:val="00DB1231"/>
    <w:rsid w:val="00DD514E"/>
    <w:rsid w:val="00DE06FF"/>
    <w:rsid w:val="00E8688F"/>
    <w:rsid w:val="00EB0AD1"/>
    <w:rsid w:val="00EB1507"/>
    <w:rsid w:val="00EC40AA"/>
    <w:rsid w:val="00F46D06"/>
    <w:rsid w:val="00F70DC1"/>
    <w:rsid w:val="00F875AF"/>
    <w:rsid w:val="00FA7C93"/>
    <w:rsid w:val="00FB634E"/>
    <w:rsid w:val="00FB76D9"/>
    <w:rsid w:val="00FD61A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Liste documents</vt:lpstr>
    </vt:vector>
  </TitlesOfParts>
  <Company>PQB</Company>
  <LinksUpToDate>false</LinksUpToDate>
  <CharactersWithSpaces>10832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documents</dc:title>
  <dc:creator>André MILEV</dc:creator>
  <cp:lastModifiedBy>AMI</cp:lastModifiedBy>
  <cp:revision>8</cp:revision>
  <dcterms:created xsi:type="dcterms:W3CDTF">2020-11-23T12:07:00Z</dcterms:created>
  <dcterms:modified xsi:type="dcterms:W3CDTF">2022-12-26T09:12:00Z</dcterms:modified>
</cp:coreProperties>
</file>