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694C91">
            <w:pPr>
              <w:pStyle w:val="NormalWeb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CB4C5A" w:rsidP="00694C91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</w:t>
            </w:r>
            <w:r w:rsidR="004C283A">
              <w:rPr>
                <w:rFonts w:ascii="Arial" w:hAnsi="Arial" w:cs="Arial"/>
                <w:sz w:val="36"/>
                <w:szCs w:val="36"/>
              </w:rPr>
              <w:t>lan de test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694C91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B5994">
              <w:rPr>
                <w:rFonts w:ascii="Arial" w:hAnsi="Arial" w:cs="Arial"/>
              </w:rPr>
              <w:t>8</w:t>
            </w:r>
            <w:r w:rsidR="004C283A">
              <w:rPr>
                <w:rFonts w:ascii="Arial" w:hAnsi="Arial" w:cs="Arial"/>
              </w:rPr>
              <w:t>8</w:t>
            </w:r>
          </w:p>
        </w:tc>
      </w:tr>
    </w:tbl>
    <w:p w:rsidR="004C162F" w:rsidRDefault="004C162F" w:rsidP="00694C91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B86007" w:rsidRPr="009D2BB3" w:rsidRDefault="00B86007" w:rsidP="00694C91">
      <w:pPr>
        <w:jc w:val="both"/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B86007" w:rsidRPr="009D2BB3" w:rsidRDefault="00B86007" w:rsidP="00694C91">
      <w:pPr>
        <w:jc w:val="both"/>
        <w:rPr>
          <w:rFonts w:ascii="Arial" w:hAnsi="Arial" w:cs="Arial"/>
        </w:rPr>
      </w:pPr>
    </w:p>
    <w:p w:rsidR="00B86007" w:rsidRPr="009D2BB3" w:rsidRDefault="00B86007" w:rsidP="00694C91">
      <w:pPr>
        <w:jc w:val="both"/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694C91">
      <w:pPr>
        <w:jc w:val="both"/>
      </w:pPr>
    </w:p>
    <w:p w:rsidR="00694C91" w:rsidRP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t>Les test</w:t>
      </w:r>
      <w:r>
        <w:rPr>
          <w:rFonts w:ascii="Arial" w:hAnsi="Arial" w:cs="Arial"/>
          <w:lang w:val="fr-FR"/>
        </w:rPr>
        <w:t>s</w:t>
      </w:r>
      <w:r w:rsidRPr="00694C91">
        <w:rPr>
          <w:rFonts w:ascii="Arial" w:hAnsi="Arial" w:cs="Arial"/>
          <w:lang w:val="fr-FR"/>
        </w:rPr>
        <w:t xml:space="preserve"> de sécurité </w:t>
      </w:r>
      <w:r>
        <w:rPr>
          <w:rFonts w:ascii="Arial" w:hAnsi="Arial" w:cs="Arial"/>
          <w:lang w:val="fr-FR"/>
        </w:rPr>
        <w:t xml:space="preserve">sont </w:t>
      </w:r>
      <w:r w:rsidRPr="00694C91">
        <w:rPr>
          <w:rFonts w:ascii="Arial" w:hAnsi="Arial" w:cs="Arial"/>
          <w:lang w:val="fr-FR"/>
        </w:rPr>
        <w:t>définis et mis en œuvre dans le cycle de vie du développement</w:t>
      </w:r>
      <w:r>
        <w:rPr>
          <w:rFonts w:ascii="Arial" w:hAnsi="Arial" w:cs="Arial"/>
          <w:lang w:val="fr-FR"/>
        </w:rPr>
        <w:t xml:space="preserve"> afin de </w:t>
      </w:r>
      <w:r w:rsidRPr="00694C91">
        <w:rPr>
          <w:rFonts w:ascii="Arial" w:hAnsi="Arial" w:cs="Arial"/>
          <w:lang w:val="fr-FR"/>
        </w:rPr>
        <w:t xml:space="preserve">valider </w:t>
      </w:r>
      <w:r>
        <w:rPr>
          <w:rFonts w:ascii="Arial" w:hAnsi="Arial" w:cs="Arial"/>
          <w:lang w:val="fr-FR"/>
        </w:rPr>
        <w:t>le respect d</w:t>
      </w:r>
      <w:r w:rsidRPr="00694C91">
        <w:rPr>
          <w:rFonts w:ascii="Arial" w:hAnsi="Arial" w:cs="Arial"/>
          <w:lang w:val="fr-FR"/>
        </w:rPr>
        <w:t>es exigences de sécurité de</w:t>
      </w:r>
      <w:r>
        <w:rPr>
          <w:rFonts w:ascii="Arial" w:hAnsi="Arial" w:cs="Arial"/>
          <w:lang w:val="fr-FR"/>
        </w:rPr>
        <w:t xml:space="preserve"> l’</w:t>
      </w:r>
      <w:r w:rsidRPr="00694C91">
        <w:rPr>
          <w:rFonts w:ascii="Arial" w:hAnsi="Arial" w:cs="Arial"/>
          <w:lang w:val="fr-FR"/>
        </w:rPr>
        <w:t>information</w:t>
      </w:r>
      <w:r>
        <w:rPr>
          <w:rFonts w:ascii="Arial" w:hAnsi="Arial" w:cs="Arial"/>
          <w:lang w:val="fr-FR"/>
        </w:rPr>
        <w:t xml:space="preserve"> </w:t>
      </w:r>
      <w:r w:rsidRPr="00694C91">
        <w:rPr>
          <w:rFonts w:ascii="Arial" w:hAnsi="Arial" w:cs="Arial"/>
          <w:lang w:val="fr-FR"/>
        </w:rPr>
        <w:t>lorsque des applications ou du code sont déployés dans l'environnement de production.</w:t>
      </w: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t xml:space="preserve">Les nouveaux systèmes d'information, les mises à niveau et les nouvelles versions </w:t>
      </w:r>
      <w:r>
        <w:rPr>
          <w:rFonts w:ascii="Arial" w:hAnsi="Arial" w:cs="Arial"/>
          <w:lang w:val="fr-FR"/>
        </w:rPr>
        <w:t xml:space="preserve">sont </w:t>
      </w:r>
      <w:r w:rsidRPr="00694C91">
        <w:rPr>
          <w:rFonts w:ascii="Arial" w:hAnsi="Arial" w:cs="Arial"/>
          <w:lang w:val="fr-FR"/>
        </w:rPr>
        <w:t xml:space="preserve">minutieusement testés et vérifiés au cours des processus de développement. </w:t>
      </w: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</w:p>
    <w:p w:rsidR="00694C91" w:rsidRP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t xml:space="preserve">Les tests de sécurité </w:t>
      </w:r>
      <w:r>
        <w:rPr>
          <w:rFonts w:ascii="Arial" w:hAnsi="Arial" w:cs="Arial"/>
          <w:lang w:val="fr-FR"/>
        </w:rPr>
        <w:t xml:space="preserve">font </w:t>
      </w:r>
      <w:r w:rsidRPr="00694C91">
        <w:rPr>
          <w:rFonts w:ascii="Arial" w:hAnsi="Arial" w:cs="Arial"/>
          <w:lang w:val="fr-FR"/>
        </w:rPr>
        <w:t>partie intégrante des tests de systèmes ou de composants.</w:t>
      </w: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t xml:space="preserve">Les tests de sécurité </w:t>
      </w:r>
      <w:r>
        <w:rPr>
          <w:rFonts w:ascii="Arial" w:hAnsi="Arial" w:cs="Arial"/>
          <w:lang w:val="fr-FR"/>
        </w:rPr>
        <w:t xml:space="preserve">sont </w:t>
      </w:r>
      <w:r w:rsidRPr="00694C91">
        <w:rPr>
          <w:rFonts w:ascii="Arial" w:hAnsi="Arial" w:cs="Arial"/>
          <w:lang w:val="fr-FR"/>
        </w:rPr>
        <w:t xml:space="preserve">menés par rapport à un ensemble d'exigences, qui peuvent être </w:t>
      </w:r>
      <w:r>
        <w:rPr>
          <w:rFonts w:ascii="Arial" w:hAnsi="Arial" w:cs="Arial"/>
          <w:lang w:val="fr-FR"/>
        </w:rPr>
        <w:t>fo</w:t>
      </w:r>
      <w:r w:rsidRPr="00694C91">
        <w:rPr>
          <w:rFonts w:ascii="Arial" w:hAnsi="Arial" w:cs="Arial"/>
          <w:lang w:val="fr-FR"/>
        </w:rPr>
        <w:t xml:space="preserve">nctionnelles ou non fonctionnelles. </w:t>
      </w: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</w:p>
    <w:p w:rsidR="00694C91" w:rsidRP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t xml:space="preserve">Les tests de sécurité </w:t>
      </w:r>
      <w:r>
        <w:rPr>
          <w:rFonts w:ascii="Arial" w:hAnsi="Arial" w:cs="Arial"/>
          <w:lang w:val="fr-FR"/>
        </w:rPr>
        <w:t>vérifient :</w:t>
      </w: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</w:p>
    <w:p w:rsidR="00694C91" w:rsidRPr="00694C91" w:rsidRDefault="00694C91" w:rsidP="00694C91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</w:t>
      </w:r>
      <w:r w:rsidRPr="00694C91">
        <w:rPr>
          <w:rFonts w:ascii="Arial" w:hAnsi="Arial" w:cs="Arial"/>
          <w:lang w:val="fr-FR"/>
        </w:rPr>
        <w:t>fonctions de sécurité</w:t>
      </w:r>
      <w:r>
        <w:rPr>
          <w:rFonts w:ascii="Arial" w:hAnsi="Arial" w:cs="Arial"/>
          <w:lang w:val="fr-FR"/>
        </w:rPr>
        <w:t xml:space="preserve"> (</w:t>
      </w:r>
      <w:r w:rsidRPr="00694C91">
        <w:rPr>
          <w:rFonts w:ascii="Arial" w:hAnsi="Arial" w:cs="Arial"/>
          <w:lang w:val="fr-FR"/>
        </w:rPr>
        <w:t>authentification de l'utilisateur</w:t>
      </w:r>
      <w:r>
        <w:rPr>
          <w:rFonts w:ascii="Arial" w:hAnsi="Arial" w:cs="Arial"/>
          <w:lang w:val="fr-FR"/>
        </w:rPr>
        <w:t xml:space="preserve">, </w:t>
      </w:r>
      <w:r w:rsidRPr="00694C91">
        <w:rPr>
          <w:rFonts w:ascii="Arial" w:hAnsi="Arial" w:cs="Arial"/>
          <w:lang w:val="fr-FR"/>
        </w:rPr>
        <w:t>restriction d'accès</w:t>
      </w:r>
      <w:r>
        <w:rPr>
          <w:rFonts w:ascii="Arial" w:hAnsi="Arial" w:cs="Arial"/>
          <w:lang w:val="fr-FR"/>
        </w:rPr>
        <w:t xml:space="preserve">, </w:t>
      </w:r>
      <w:r w:rsidRPr="00694C91">
        <w:rPr>
          <w:rFonts w:ascii="Arial" w:hAnsi="Arial" w:cs="Arial"/>
          <w:lang w:val="fr-FR"/>
        </w:rPr>
        <w:t>utilisation de la cryptographie)</w:t>
      </w:r>
    </w:p>
    <w:p w:rsidR="00694C91" w:rsidRPr="00694C91" w:rsidRDefault="00694C91" w:rsidP="00694C91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codage sécurisé</w:t>
      </w:r>
    </w:p>
    <w:p w:rsidR="00694C91" w:rsidRPr="00694C91" w:rsidRDefault="00694C91" w:rsidP="00694C91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</w:t>
      </w:r>
      <w:r w:rsidRPr="00694C91">
        <w:rPr>
          <w:rFonts w:ascii="Arial" w:hAnsi="Arial" w:cs="Arial"/>
          <w:lang w:val="fr-FR"/>
        </w:rPr>
        <w:t xml:space="preserve">configurations sécurisées (systèmes d'exploitation, </w:t>
      </w:r>
      <w:r w:rsidRPr="00694C91">
        <w:rPr>
          <w:rFonts w:ascii="Arial" w:hAnsi="Arial" w:cs="Arial"/>
          <w:lang w:val="fr-FR"/>
        </w:rPr>
        <w:t>pare-feu</w:t>
      </w:r>
      <w:r w:rsidRPr="00694C91">
        <w:rPr>
          <w:rFonts w:ascii="Arial" w:hAnsi="Arial" w:cs="Arial"/>
          <w:lang w:val="fr-FR"/>
        </w:rPr>
        <w:t xml:space="preserve"> et </w:t>
      </w:r>
      <w:r>
        <w:rPr>
          <w:rFonts w:ascii="Arial" w:hAnsi="Arial" w:cs="Arial"/>
          <w:lang w:val="fr-FR"/>
        </w:rPr>
        <w:t>autres composants de sécurité)</w:t>
      </w: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t xml:space="preserve">L'étendue des tests </w:t>
      </w:r>
      <w:r>
        <w:rPr>
          <w:rFonts w:ascii="Arial" w:hAnsi="Arial" w:cs="Arial"/>
          <w:lang w:val="fr-FR"/>
        </w:rPr>
        <w:t xml:space="preserve">est </w:t>
      </w:r>
      <w:r w:rsidRPr="00694C91">
        <w:rPr>
          <w:rFonts w:ascii="Arial" w:hAnsi="Arial" w:cs="Arial"/>
          <w:lang w:val="fr-FR"/>
        </w:rPr>
        <w:t xml:space="preserve">proportionnelle à l'importance, à la nature du système et à l'impact potentiel du changement introduit. </w:t>
      </w: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Exemple de plan de test :</w:t>
      </w: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1203"/>
        <w:gridCol w:w="1351"/>
        <w:gridCol w:w="1497"/>
        <w:gridCol w:w="1217"/>
        <w:gridCol w:w="1278"/>
      </w:tblGrid>
      <w:tr w:rsidR="00694C91" w:rsidRPr="00EC40AA" w:rsidTr="00694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694C91" w:rsidRPr="00EC40AA" w:rsidRDefault="00694C91" w:rsidP="00694C91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Activités</w:t>
            </w:r>
          </w:p>
        </w:tc>
        <w:tc>
          <w:tcPr>
            <w:tcW w:w="613" w:type="pct"/>
          </w:tcPr>
          <w:p w:rsidR="00694C91" w:rsidRDefault="00694C91" w:rsidP="00694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613" w:type="pct"/>
          </w:tcPr>
          <w:p w:rsidR="00694C91" w:rsidRPr="00EC40AA" w:rsidRDefault="00694C91" w:rsidP="00694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Entrées</w:t>
            </w:r>
          </w:p>
        </w:tc>
        <w:tc>
          <w:tcPr>
            <w:tcW w:w="613" w:type="pct"/>
          </w:tcPr>
          <w:p w:rsidR="00694C91" w:rsidRPr="00EC40AA" w:rsidRDefault="00694C91" w:rsidP="00694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Sorties</w:t>
            </w:r>
          </w:p>
        </w:tc>
        <w:tc>
          <w:tcPr>
            <w:tcW w:w="665" w:type="pct"/>
          </w:tcPr>
          <w:p w:rsidR="00694C91" w:rsidRDefault="00694C91" w:rsidP="00694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Conditions</w:t>
            </w:r>
          </w:p>
        </w:tc>
        <w:tc>
          <w:tcPr>
            <w:tcW w:w="613" w:type="pct"/>
          </w:tcPr>
          <w:p w:rsidR="00694C91" w:rsidRPr="00694C91" w:rsidRDefault="00694C91" w:rsidP="00800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94C91">
              <w:rPr>
                <w:rFonts w:ascii="Arial" w:hAnsi="Arial" w:cs="Arial"/>
                <w:b w:val="0"/>
              </w:rPr>
              <w:t>Critères d’évaluation</w:t>
            </w:r>
          </w:p>
        </w:tc>
        <w:tc>
          <w:tcPr>
            <w:tcW w:w="613" w:type="pct"/>
          </w:tcPr>
          <w:p w:rsidR="00694C91" w:rsidRPr="00694C91" w:rsidRDefault="00694C91" w:rsidP="00800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94C91">
              <w:rPr>
                <w:rFonts w:ascii="Arial" w:hAnsi="Arial" w:cs="Arial"/>
                <w:b w:val="0"/>
              </w:rPr>
              <w:t>Résultats</w:t>
            </w:r>
          </w:p>
        </w:tc>
        <w:tc>
          <w:tcPr>
            <w:tcW w:w="658" w:type="pct"/>
          </w:tcPr>
          <w:p w:rsidR="00694C91" w:rsidRDefault="00694C91" w:rsidP="00694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Action</w:t>
            </w:r>
          </w:p>
        </w:tc>
      </w:tr>
      <w:tr w:rsidR="00694C91" w:rsidRPr="00EC40AA" w:rsidTr="00694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694C91" w:rsidRPr="00EC40AA" w:rsidRDefault="00694C91" w:rsidP="00800DDC">
            <w:pPr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5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94C91" w:rsidRPr="00EC40AA" w:rsidTr="00694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694C91" w:rsidRPr="00EC40AA" w:rsidRDefault="00694C91" w:rsidP="00800DDC">
            <w:pPr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5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94C91" w:rsidRPr="00EC40AA" w:rsidTr="00694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694C91" w:rsidRDefault="00694C91" w:rsidP="00800DDC">
            <w:pPr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5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94C91" w:rsidRPr="00EC40AA" w:rsidTr="00694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694C91" w:rsidRDefault="00694C91" w:rsidP="00800DDC">
            <w:pPr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5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94C91" w:rsidRPr="00EC40AA" w:rsidTr="00694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694C91" w:rsidRDefault="00694C91" w:rsidP="00800DDC">
            <w:pPr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5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94C91" w:rsidRPr="00EC40AA" w:rsidTr="00694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694C91" w:rsidRPr="00EC40AA" w:rsidRDefault="00694C91" w:rsidP="00800DDC">
            <w:pPr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5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694C91" w:rsidRPr="00EC40AA" w:rsidRDefault="00694C91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94C91" w:rsidRPr="00EC40AA" w:rsidTr="00694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694C91" w:rsidRPr="00EC40AA" w:rsidRDefault="00694C91" w:rsidP="00800DDC">
            <w:pPr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5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3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694C91" w:rsidRPr="00EC40AA" w:rsidRDefault="00694C9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</w:p>
    <w:p w:rsidR="00694C91" w:rsidRP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t>L'organis</w:t>
      </w:r>
      <w:r>
        <w:rPr>
          <w:rFonts w:ascii="Arial" w:hAnsi="Arial" w:cs="Arial"/>
          <w:lang w:val="fr-FR"/>
        </w:rPr>
        <w:t xml:space="preserve">ation peut utiliser des </w:t>
      </w:r>
      <w:r w:rsidRPr="00694C91">
        <w:rPr>
          <w:rFonts w:ascii="Arial" w:hAnsi="Arial" w:cs="Arial"/>
          <w:lang w:val="fr-FR"/>
        </w:rPr>
        <w:t>outils automatisés</w:t>
      </w:r>
      <w:r>
        <w:rPr>
          <w:rFonts w:ascii="Arial" w:hAnsi="Arial" w:cs="Arial"/>
          <w:lang w:val="fr-FR"/>
        </w:rPr>
        <w:t xml:space="preserve"> (</w:t>
      </w:r>
      <w:r w:rsidRPr="00694C91">
        <w:rPr>
          <w:rFonts w:ascii="Arial" w:hAnsi="Arial" w:cs="Arial"/>
          <w:lang w:val="fr-FR"/>
        </w:rPr>
        <w:t>analyse de code o</w:t>
      </w:r>
      <w:r>
        <w:rPr>
          <w:rFonts w:ascii="Arial" w:hAnsi="Arial" w:cs="Arial"/>
          <w:lang w:val="fr-FR"/>
        </w:rPr>
        <w:t>u scanners de vulnérabilité)</w:t>
      </w:r>
      <w:r w:rsidRPr="00694C91">
        <w:rPr>
          <w:rFonts w:ascii="Arial" w:hAnsi="Arial" w:cs="Arial"/>
          <w:lang w:val="fr-FR"/>
        </w:rPr>
        <w:t xml:space="preserve"> et vérifie la correction des défauts liés à la sécurité.</w:t>
      </w: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t xml:space="preserve">Pour les développements internes, ces tests </w:t>
      </w:r>
      <w:r>
        <w:rPr>
          <w:rFonts w:ascii="Arial" w:hAnsi="Arial" w:cs="Arial"/>
          <w:lang w:val="fr-FR"/>
        </w:rPr>
        <w:t xml:space="preserve">sont </w:t>
      </w:r>
      <w:r w:rsidRPr="00694C91">
        <w:rPr>
          <w:rFonts w:ascii="Arial" w:hAnsi="Arial" w:cs="Arial"/>
          <w:lang w:val="fr-FR"/>
        </w:rPr>
        <w:t>effectués p</w:t>
      </w:r>
      <w:r>
        <w:rPr>
          <w:rFonts w:ascii="Arial" w:hAnsi="Arial" w:cs="Arial"/>
          <w:lang w:val="fr-FR"/>
        </w:rPr>
        <w:t>ar l'équipe de développement et ensuite d</w:t>
      </w:r>
      <w:r w:rsidRPr="00694C91">
        <w:rPr>
          <w:rFonts w:ascii="Arial" w:hAnsi="Arial" w:cs="Arial"/>
          <w:lang w:val="fr-FR"/>
        </w:rPr>
        <w:t xml:space="preserve">es tests d'acceptation indépendants </w:t>
      </w:r>
      <w:r>
        <w:rPr>
          <w:rFonts w:ascii="Arial" w:hAnsi="Arial" w:cs="Arial"/>
          <w:lang w:val="fr-FR"/>
        </w:rPr>
        <w:t xml:space="preserve">sont réalisés afin de </w:t>
      </w:r>
      <w:r w:rsidRPr="00694C91">
        <w:rPr>
          <w:rFonts w:ascii="Arial" w:hAnsi="Arial" w:cs="Arial"/>
          <w:lang w:val="fr-FR"/>
        </w:rPr>
        <w:t xml:space="preserve">s'assurer que le système fonctionne comme prévu et uniquement comme prévu. </w:t>
      </w: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</w:p>
    <w:p w:rsidR="00694C91" w:rsidRP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t xml:space="preserve">Les éléments suivants </w:t>
      </w:r>
      <w:r>
        <w:rPr>
          <w:rFonts w:ascii="Arial" w:hAnsi="Arial" w:cs="Arial"/>
          <w:lang w:val="fr-FR"/>
        </w:rPr>
        <w:t xml:space="preserve">sont </w:t>
      </w:r>
      <w:r w:rsidRPr="00694C91">
        <w:rPr>
          <w:rFonts w:ascii="Arial" w:hAnsi="Arial" w:cs="Arial"/>
          <w:lang w:val="fr-FR"/>
        </w:rPr>
        <w:t>pris en compte :</w:t>
      </w:r>
    </w:p>
    <w:p w:rsidR="00694C91" w:rsidRPr="00694C91" w:rsidRDefault="00694C91" w:rsidP="00694C91">
      <w:pPr>
        <w:pStyle w:val="Default"/>
        <w:numPr>
          <w:ilvl w:val="0"/>
          <w:numId w:val="7"/>
        </w:numPr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lastRenderedPageBreak/>
        <w:t>effectuer des activités de révision du code en tant qu'élément pertinent pour tester les failles de sécurité, y compris les entré</w:t>
      </w:r>
      <w:r w:rsidR="00E42E63">
        <w:rPr>
          <w:rFonts w:ascii="Arial" w:hAnsi="Arial" w:cs="Arial"/>
          <w:lang w:val="fr-FR"/>
        </w:rPr>
        <w:t>es et les conditions imprévues</w:t>
      </w:r>
    </w:p>
    <w:p w:rsidR="00694C91" w:rsidRPr="00694C91" w:rsidRDefault="00694C91" w:rsidP="00694C91">
      <w:pPr>
        <w:pStyle w:val="Default"/>
        <w:numPr>
          <w:ilvl w:val="0"/>
          <w:numId w:val="7"/>
        </w:numPr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t>effectuer une analyse des vulnérabilités pour identifier les configurations non sécurisées et les vulné</w:t>
      </w:r>
      <w:r w:rsidR="00E42E63">
        <w:rPr>
          <w:rFonts w:ascii="Arial" w:hAnsi="Arial" w:cs="Arial"/>
          <w:lang w:val="fr-FR"/>
        </w:rPr>
        <w:t>rabilités du système</w:t>
      </w:r>
    </w:p>
    <w:p w:rsidR="00694C91" w:rsidRPr="00694C91" w:rsidRDefault="00694C91" w:rsidP="00694C91">
      <w:pPr>
        <w:pStyle w:val="Default"/>
        <w:numPr>
          <w:ilvl w:val="0"/>
          <w:numId w:val="7"/>
        </w:numPr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t>effectuer des tests d'intrusion pour identifier le code</w:t>
      </w:r>
      <w:r w:rsidR="00E42E63">
        <w:rPr>
          <w:rFonts w:ascii="Arial" w:hAnsi="Arial" w:cs="Arial"/>
          <w:lang w:val="fr-FR"/>
        </w:rPr>
        <w:t xml:space="preserve"> et la conception non sécurisés</w:t>
      </w:r>
    </w:p>
    <w:p w:rsidR="00E42E63" w:rsidRDefault="00E42E63" w:rsidP="00694C91">
      <w:pPr>
        <w:pStyle w:val="Default"/>
        <w:jc w:val="both"/>
        <w:rPr>
          <w:rFonts w:ascii="Arial" w:hAnsi="Arial" w:cs="Arial"/>
          <w:lang w:val="fr-FR"/>
        </w:rPr>
      </w:pPr>
    </w:p>
    <w:p w:rsidR="00694C91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t xml:space="preserve">Pour les composants de développement et d'achat externalisés, un processus d'acquisition </w:t>
      </w:r>
      <w:r w:rsidR="00E42E63">
        <w:rPr>
          <w:rFonts w:ascii="Arial" w:hAnsi="Arial" w:cs="Arial"/>
          <w:lang w:val="fr-FR"/>
        </w:rPr>
        <w:t>est utilisé</w:t>
      </w:r>
      <w:r w:rsidRPr="00694C91">
        <w:rPr>
          <w:rFonts w:ascii="Arial" w:hAnsi="Arial" w:cs="Arial"/>
          <w:lang w:val="fr-FR"/>
        </w:rPr>
        <w:t>. Les contrats avec le fournisseur répond</w:t>
      </w:r>
      <w:r w:rsidR="00E42E63">
        <w:rPr>
          <w:rFonts w:ascii="Arial" w:hAnsi="Arial" w:cs="Arial"/>
          <w:lang w:val="fr-FR"/>
        </w:rPr>
        <w:t>ent a</w:t>
      </w:r>
      <w:r w:rsidRPr="00694C91">
        <w:rPr>
          <w:rFonts w:ascii="Arial" w:hAnsi="Arial" w:cs="Arial"/>
          <w:lang w:val="fr-FR"/>
        </w:rPr>
        <w:t>ux exigences de sécurité identifiées</w:t>
      </w:r>
      <w:r w:rsidR="00E42E63">
        <w:rPr>
          <w:rFonts w:ascii="Arial" w:hAnsi="Arial" w:cs="Arial"/>
          <w:lang w:val="fr-FR"/>
        </w:rPr>
        <w:t xml:space="preserve">. </w:t>
      </w:r>
      <w:r w:rsidRPr="00694C91">
        <w:rPr>
          <w:rFonts w:ascii="Arial" w:hAnsi="Arial" w:cs="Arial"/>
          <w:lang w:val="fr-FR"/>
        </w:rPr>
        <w:t xml:space="preserve">Les produits et services </w:t>
      </w:r>
      <w:r w:rsidR="00E42E63">
        <w:rPr>
          <w:rFonts w:ascii="Arial" w:hAnsi="Arial" w:cs="Arial"/>
          <w:lang w:val="fr-FR"/>
        </w:rPr>
        <w:t xml:space="preserve">sont </w:t>
      </w:r>
      <w:r w:rsidRPr="00694C91">
        <w:rPr>
          <w:rFonts w:ascii="Arial" w:hAnsi="Arial" w:cs="Arial"/>
          <w:lang w:val="fr-FR"/>
        </w:rPr>
        <w:t>évalués par rapport à ces critères avant l'acquisition.</w:t>
      </w:r>
    </w:p>
    <w:p w:rsidR="00E42E63" w:rsidRPr="00694C91" w:rsidRDefault="00E42E63" w:rsidP="00694C91">
      <w:pPr>
        <w:pStyle w:val="Default"/>
        <w:jc w:val="both"/>
        <w:rPr>
          <w:rFonts w:ascii="Arial" w:hAnsi="Arial" w:cs="Arial"/>
          <w:lang w:val="fr-FR"/>
        </w:rPr>
      </w:pPr>
    </w:p>
    <w:p w:rsidR="00E42E63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t xml:space="preserve">Les tests </w:t>
      </w:r>
      <w:r w:rsidR="00E42E63">
        <w:rPr>
          <w:rFonts w:ascii="Arial" w:hAnsi="Arial" w:cs="Arial"/>
          <w:lang w:val="fr-FR"/>
        </w:rPr>
        <w:t xml:space="preserve">sont </w:t>
      </w:r>
      <w:r w:rsidRPr="00694C91">
        <w:rPr>
          <w:rFonts w:ascii="Arial" w:hAnsi="Arial" w:cs="Arial"/>
          <w:lang w:val="fr-FR"/>
        </w:rPr>
        <w:t>effectués dans un environnement de test qui correspond le plus possible à l'environnement de production cible pour s'assurer que le système n'introduit pas de vulnérabilités et que les tests sont fiables</w:t>
      </w:r>
      <w:r w:rsidR="00E42E63">
        <w:rPr>
          <w:rFonts w:ascii="Arial" w:hAnsi="Arial" w:cs="Arial"/>
          <w:lang w:val="fr-FR"/>
        </w:rPr>
        <w:t>.</w:t>
      </w:r>
    </w:p>
    <w:p w:rsidR="00E42E63" w:rsidRDefault="00E42E63" w:rsidP="00694C91">
      <w:pPr>
        <w:pStyle w:val="Default"/>
        <w:jc w:val="both"/>
        <w:rPr>
          <w:rFonts w:ascii="Arial" w:hAnsi="Arial" w:cs="Arial"/>
          <w:lang w:val="fr-FR"/>
        </w:rPr>
      </w:pPr>
    </w:p>
    <w:p w:rsidR="00694C91" w:rsidRPr="009407D2" w:rsidRDefault="00694C91" w:rsidP="00694C91">
      <w:pPr>
        <w:pStyle w:val="Default"/>
        <w:jc w:val="both"/>
        <w:rPr>
          <w:rFonts w:ascii="Arial" w:hAnsi="Arial" w:cs="Arial"/>
          <w:lang w:val="fr-FR"/>
        </w:rPr>
      </w:pPr>
      <w:r w:rsidRPr="00694C91">
        <w:rPr>
          <w:rFonts w:ascii="Arial" w:hAnsi="Arial" w:cs="Arial"/>
          <w:lang w:val="fr-FR"/>
        </w:rPr>
        <w:t xml:space="preserve">Plusieurs environnements de test peuvent être établis, qui </w:t>
      </w:r>
      <w:proofErr w:type="gramStart"/>
      <w:r w:rsidRPr="00694C91">
        <w:rPr>
          <w:rFonts w:ascii="Arial" w:hAnsi="Arial" w:cs="Arial"/>
          <w:lang w:val="fr-FR"/>
        </w:rPr>
        <w:t>peuvent</w:t>
      </w:r>
      <w:proofErr w:type="gramEnd"/>
      <w:r w:rsidRPr="00694C91">
        <w:rPr>
          <w:rFonts w:ascii="Arial" w:hAnsi="Arial" w:cs="Arial"/>
          <w:lang w:val="fr-FR"/>
        </w:rPr>
        <w:t xml:space="preserve"> être utilisés pour différents types de tests (tests fonctionnels et de performance). Ces différents environnements peuvent être virtuels, avec des configurations individuelles pour simuler une variété d'environnements d'exploitation.</w:t>
      </w:r>
    </w:p>
    <w:sectPr w:rsidR="00694C91" w:rsidRPr="009407D2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D41" w:rsidRDefault="00580D41">
      <w:r>
        <w:separator/>
      </w:r>
    </w:p>
  </w:endnote>
  <w:endnote w:type="continuationSeparator" w:id="0">
    <w:p w:rsidR="00580D41" w:rsidRDefault="00580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E42E63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D41" w:rsidRDefault="00580D41">
      <w:r>
        <w:separator/>
      </w:r>
    </w:p>
  </w:footnote>
  <w:footnote w:type="continuationSeparator" w:id="0">
    <w:p w:rsidR="00580D41" w:rsidRDefault="00580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7D0E"/>
    <w:multiLevelType w:val="hybridMultilevel"/>
    <w:tmpl w:val="BB2647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702A5"/>
    <w:multiLevelType w:val="hybridMultilevel"/>
    <w:tmpl w:val="871EE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54AF9"/>
    <w:multiLevelType w:val="hybridMultilevel"/>
    <w:tmpl w:val="0480169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42EA7"/>
    <w:multiLevelType w:val="hybridMultilevel"/>
    <w:tmpl w:val="A678DD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E6B36"/>
    <w:multiLevelType w:val="hybridMultilevel"/>
    <w:tmpl w:val="8EA4B3F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35534"/>
    <w:multiLevelType w:val="hybridMultilevel"/>
    <w:tmpl w:val="FDEAA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B5C24"/>
    <w:multiLevelType w:val="hybridMultilevel"/>
    <w:tmpl w:val="4C36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27446"/>
    <w:rsid w:val="000404DA"/>
    <w:rsid w:val="0005220B"/>
    <w:rsid w:val="000554BE"/>
    <w:rsid w:val="00076890"/>
    <w:rsid w:val="000C5CCB"/>
    <w:rsid w:val="000D51F0"/>
    <w:rsid w:val="000E59FC"/>
    <w:rsid w:val="00107E4F"/>
    <w:rsid w:val="001261FB"/>
    <w:rsid w:val="00130929"/>
    <w:rsid w:val="001657A0"/>
    <w:rsid w:val="001A5AC9"/>
    <w:rsid w:val="001F753F"/>
    <w:rsid w:val="00206BA2"/>
    <w:rsid w:val="002118F0"/>
    <w:rsid w:val="002344D8"/>
    <w:rsid w:val="00284BE0"/>
    <w:rsid w:val="002C7D9B"/>
    <w:rsid w:val="002D715D"/>
    <w:rsid w:val="002E2022"/>
    <w:rsid w:val="002F7CD8"/>
    <w:rsid w:val="00332267"/>
    <w:rsid w:val="00362CA1"/>
    <w:rsid w:val="0038607F"/>
    <w:rsid w:val="00387F6E"/>
    <w:rsid w:val="003942D1"/>
    <w:rsid w:val="003A1AA4"/>
    <w:rsid w:val="003A427C"/>
    <w:rsid w:val="003A7E4A"/>
    <w:rsid w:val="003C4A74"/>
    <w:rsid w:val="003D4AD2"/>
    <w:rsid w:val="003E4F61"/>
    <w:rsid w:val="003F3998"/>
    <w:rsid w:val="003F7ACC"/>
    <w:rsid w:val="0042470E"/>
    <w:rsid w:val="00470570"/>
    <w:rsid w:val="00486B33"/>
    <w:rsid w:val="00490238"/>
    <w:rsid w:val="0049774F"/>
    <w:rsid w:val="004A2B44"/>
    <w:rsid w:val="004A3919"/>
    <w:rsid w:val="004A7210"/>
    <w:rsid w:val="004B0233"/>
    <w:rsid w:val="004B3A07"/>
    <w:rsid w:val="004B4F61"/>
    <w:rsid w:val="004C162F"/>
    <w:rsid w:val="004C283A"/>
    <w:rsid w:val="004C466A"/>
    <w:rsid w:val="00512A7A"/>
    <w:rsid w:val="005778EC"/>
    <w:rsid w:val="00580D41"/>
    <w:rsid w:val="005A43BF"/>
    <w:rsid w:val="005C184C"/>
    <w:rsid w:val="005C490B"/>
    <w:rsid w:val="005F25F8"/>
    <w:rsid w:val="00611360"/>
    <w:rsid w:val="0067247D"/>
    <w:rsid w:val="0068118A"/>
    <w:rsid w:val="00694C91"/>
    <w:rsid w:val="006D718E"/>
    <w:rsid w:val="006F0C0B"/>
    <w:rsid w:val="006F30D0"/>
    <w:rsid w:val="007225DD"/>
    <w:rsid w:val="007402C7"/>
    <w:rsid w:val="00741CB8"/>
    <w:rsid w:val="0074708C"/>
    <w:rsid w:val="007724DF"/>
    <w:rsid w:val="0077534A"/>
    <w:rsid w:val="007763E8"/>
    <w:rsid w:val="007A319F"/>
    <w:rsid w:val="007D04DD"/>
    <w:rsid w:val="007D10B7"/>
    <w:rsid w:val="00803E82"/>
    <w:rsid w:val="008148DD"/>
    <w:rsid w:val="008203C4"/>
    <w:rsid w:val="00837810"/>
    <w:rsid w:val="00837C13"/>
    <w:rsid w:val="00850C61"/>
    <w:rsid w:val="008619FA"/>
    <w:rsid w:val="00862E2B"/>
    <w:rsid w:val="009070D6"/>
    <w:rsid w:val="00920E0E"/>
    <w:rsid w:val="0092269F"/>
    <w:rsid w:val="0093225E"/>
    <w:rsid w:val="009326C4"/>
    <w:rsid w:val="009407D2"/>
    <w:rsid w:val="009620FB"/>
    <w:rsid w:val="00995A3A"/>
    <w:rsid w:val="0099615C"/>
    <w:rsid w:val="009B1BB9"/>
    <w:rsid w:val="009E713C"/>
    <w:rsid w:val="009F77CF"/>
    <w:rsid w:val="00A1172D"/>
    <w:rsid w:val="00A11D27"/>
    <w:rsid w:val="00A236DD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14F5"/>
    <w:rsid w:val="00B55115"/>
    <w:rsid w:val="00B86007"/>
    <w:rsid w:val="00BA3746"/>
    <w:rsid w:val="00BB02A1"/>
    <w:rsid w:val="00BB4C31"/>
    <w:rsid w:val="00BC2F59"/>
    <w:rsid w:val="00C043A2"/>
    <w:rsid w:val="00C11799"/>
    <w:rsid w:val="00C165E0"/>
    <w:rsid w:val="00C26606"/>
    <w:rsid w:val="00C34BB4"/>
    <w:rsid w:val="00C76DFA"/>
    <w:rsid w:val="00CB4C5A"/>
    <w:rsid w:val="00D04B19"/>
    <w:rsid w:val="00D13F31"/>
    <w:rsid w:val="00D52BEE"/>
    <w:rsid w:val="00D52CDB"/>
    <w:rsid w:val="00D60A06"/>
    <w:rsid w:val="00D656A7"/>
    <w:rsid w:val="00D70B70"/>
    <w:rsid w:val="00D71D9E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176EB"/>
    <w:rsid w:val="00E42E63"/>
    <w:rsid w:val="00EB0AD1"/>
    <w:rsid w:val="00EB1507"/>
    <w:rsid w:val="00EC40AA"/>
    <w:rsid w:val="00EC63CE"/>
    <w:rsid w:val="00ED35A1"/>
    <w:rsid w:val="00EE2363"/>
    <w:rsid w:val="00EF6175"/>
    <w:rsid w:val="00F00840"/>
    <w:rsid w:val="00F12C5D"/>
    <w:rsid w:val="00F210E8"/>
    <w:rsid w:val="00F46D06"/>
    <w:rsid w:val="00F70DC1"/>
    <w:rsid w:val="00F86340"/>
    <w:rsid w:val="00F875AF"/>
    <w:rsid w:val="00FA7C93"/>
    <w:rsid w:val="00FB5994"/>
    <w:rsid w:val="00FB634E"/>
    <w:rsid w:val="00FB76D9"/>
    <w:rsid w:val="00FC221B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319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319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Principes d'ingénierie</vt:lpstr>
    </vt:vector>
  </TitlesOfParts>
  <Company>PQB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</dc:title>
  <dc:creator>André MILEV</dc:creator>
  <cp:lastModifiedBy>AMI</cp:lastModifiedBy>
  <cp:revision>4</cp:revision>
  <dcterms:created xsi:type="dcterms:W3CDTF">2022-12-25T10:11:00Z</dcterms:created>
  <dcterms:modified xsi:type="dcterms:W3CDTF">2022-12-25T10:58:00Z</dcterms:modified>
</cp:coreProperties>
</file>