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4820A1" w:rsidP="00F22A7B">
      <w:pPr>
        <w:pStyle w:val="Titre"/>
      </w:pPr>
      <w:r w:rsidRPr="004820A1">
        <w:t>Redondance des moyens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1F06" w:rsidRDefault="00ED1F06" w:rsidP="00ED1F06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CB3E72" w:rsidRDefault="00CB3E72" w:rsidP="00F22A7B">
      <w:pPr>
        <w:jc w:val="both"/>
        <w:rPr>
          <w:rFonts w:ascii="Arial" w:hAnsi="Arial" w:cs="Arial"/>
          <w:sz w:val="24"/>
          <w:szCs w:val="24"/>
        </w:rPr>
      </w:pPr>
    </w:p>
    <w:p w:rsidR="00CB3E72" w:rsidRDefault="00CB3E72" w:rsidP="00F22A7B">
      <w:pPr>
        <w:jc w:val="both"/>
        <w:rPr>
          <w:rFonts w:ascii="Arial" w:hAnsi="Arial" w:cs="Arial"/>
          <w:sz w:val="24"/>
          <w:szCs w:val="24"/>
        </w:rPr>
      </w:pPr>
    </w:p>
    <w:p w:rsidR="00CB3E72" w:rsidRDefault="00CB3E72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8A2004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8A2004" w:rsidRPr="008A2004">
        <w:rPr>
          <w:rFonts w:ascii="Arial" w:hAnsi="Arial" w:cs="Arial"/>
          <w:sz w:val="24"/>
          <w:szCs w:val="24"/>
        </w:rPr>
        <w:t xml:space="preserve">d’assurer le fonctionnement continu des </w:t>
      </w:r>
      <w:r w:rsidR="008A2004">
        <w:rPr>
          <w:rFonts w:ascii="Arial" w:hAnsi="Arial" w:cs="Arial"/>
          <w:sz w:val="24"/>
          <w:szCs w:val="24"/>
        </w:rPr>
        <w:t>moyens</w:t>
      </w:r>
      <w:r w:rsidR="008A2004" w:rsidRPr="008A2004">
        <w:rPr>
          <w:rFonts w:ascii="Arial" w:hAnsi="Arial" w:cs="Arial"/>
          <w:sz w:val="24"/>
          <w:szCs w:val="24"/>
        </w:rPr>
        <w:t xml:space="preserve"> de traitement de l'information.</w:t>
      </w:r>
    </w:p>
    <w:p w:rsidR="008A2004" w:rsidRDefault="008A2004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1D4766" w:rsidP="00F22A7B">
      <w:pPr>
        <w:jc w:val="both"/>
        <w:rPr>
          <w:rFonts w:ascii="Arial" w:hAnsi="Arial" w:cs="Arial"/>
          <w:sz w:val="24"/>
          <w:szCs w:val="24"/>
        </w:rPr>
      </w:pPr>
      <w:r w:rsidRPr="001D4766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Redondance des moyens</w:t>
      </w:r>
      <w:r w:rsidRPr="001D4766">
        <w:rPr>
          <w:rFonts w:ascii="Arial" w:hAnsi="Arial" w:cs="Arial"/>
          <w:sz w:val="24"/>
          <w:szCs w:val="24"/>
        </w:rPr>
        <w:t xml:space="preserve"> » s’applique </w:t>
      </w:r>
      <w:r>
        <w:rPr>
          <w:rFonts w:ascii="Arial" w:hAnsi="Arial" w:cs="Arial"/>
          <w:sz w:val="24"/>
          <w:szCs w:val="24"/>
        </w:rPr>
        <w:t>aux personnes gérant les activités de la continuité d’activité.</w:t>
      </w:r>
    </w:p>
    <w:p w:rsidR="001D4766" w:rsidRDefault="001D4766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735F53" w:rsidRDefault="00735F53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 – technologie de l’information et de la communication</w:t>
      </w:r>
      <w:bookmarkStart w:id="0" w:name="_GoBack"/>
      <w:bookmarkEnd w:id="0"/>
    </w:p>
    <w:p w:rsidR="00AB3E9A" w:rsidRDefault="00AB3E9A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- </w:t>
      </w:r>
      <w:r w:rsidRPr="00AB3E9A">
        <w:rPr>
          <w:rFonts w:ascii="Arial" w:hAnsi="Arial" w:cs="Arial"/>
          <w:i/>
          <w:sz w:val="24"/>
          <w:szCs w:val="24"/>
        </w:rPr>
        <w:t xml:space="preserve">Central </w:t>
      </w:r>
      <w:proofErr w:type="spellStart"/>
      <w:r w:rsidRPr="00AB3E9A">
        <w:rPr>
          <w:rFonts w:ascii="Arial" w:hAnsi="Arial" w:cs="Arial"/>
          <w:i/>
          <w:sz w:val="24"/>
          <w:szCs w:val="24"/>
        </w:rPr>
        <w:t>Processing</w:t>
      </w:r>
      <w:proofErr w:type="spellEnd"/>
      <w:r w:rsidRPr="00AB3E9A">
        <w:rPr>
          <w:rFonts w:ascii="Arial" w:hAnsi="Arial" w:cs="Arial"/>
          <w:i/>
          <w:sz w:val="24"/>
          <w:szCs w:val="24"/>
        </w:rPr>
        <w:t xml:space="preserve"> Unit</w:t>
      </w:r>
      <w:r>
        <w:rPr>
          <w:rFonts w:ascii="Arial" w:hAnsi="Arial" w:cs="Arial"/>
          <w:i/>
          <w:sz w:val="24"/>
          <w:szCs w:val="24"/>
        </w:rPr>
        <w:t xml:space="preserve"> - </w:t>
      </w:r>
      <w:r w:rsidRPr="00AB3E9A">
        <w:rPr>
          <w:rFonts w:ascii="Arial" w:hAnsi="Arial" w:cs="Arial"/>
          <w:sz w:val="24"/>
          <w:szCs w:val="24"/>
        </w:rPr>
        <w:t>Unité centrale de traitement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8919FF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continuité d’activité</w:t>
      </w:r>
    </w:p>
    <w:p w:rsidR="00735F53" w:rsidRDefault="00735F53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Continuité d’activité</w:t>
      </w:r>
    </w:p>
    <w:p w:rsidR="008919FF" w:rsidRDefault="008919FF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2523E8">
        <w:rPr>
          <w:rFonts w:ascii="Arial" w:hAnsi="Arial" w:cs="Arial"/>
          <w:sz w:val="24"/>
          <w:szCs w:val="24"/>
        </w:rPr>
        <w:t>1</w:t>
      </w:r>
      <w:r w:rsidR="001353C9">
        <w:rPr>
          <w:rFonts w:ascii="Arial" w:hAnsi="Arial" w:cs="Arial"/>
          <w:sz w:val="24"/>
          <w:szCs w:val="24"/>
        </w:rPr>
        <w:t>4 Redondance des moyens de traitement de l’information</w:t>
      </w:r>
    </w:p>
    <w:p w:rsidR="001353C9" w:rsidRPr="0071673F" w:rsidRDefault="001353C9" w:rsidP="00F22A7B">
      <w:pPr>
        <w:jc w:val="both"/>
        <w:rPr>
          <w:rFonts w:ascii="Arial" w:hAnsi="Arial" w:cs="Arial"/>
          <w:sz w:val="24"/>
          <w:szCs w:val="24"/>
        </w:rPr>
      </w:pPr>
    </w:p>
    <w:p w:rsidR="00086E5F" w:rsidRDefault="00086E5F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86E5F">
        <w:rPr>
          <w:rFonts w:ascii="Arial" w:hAnsi="Arial" w:cs="Arial"/>
          <w:sz w:val="24"/>
          <w:szCs w:val="24"/>
        </w:rPr>
        <w:t xml:space="preserve">es moyens de traitement de l'information </w:t>
      </w:r>
      <w:r>
        <w:rPr>
          <w:rFonts w:ascii="Arial" w:hAnsi="Arial" w:cs="Arial"/>
          <w:sz w:val="24"/>
          <w:szCs w:val="24"/>
        </w:rPr>
        <w:t xml:space="preserve">doivent être mis en place </w:t>
      </w:r>
      <w:r w:rsidRPr="00086E5F">
        <w:rPr>
          <w:rFonts w:ascii="Arial" w:hAnsi="Arial" w:cs="Arial"/>
          <w:sz w:val="24"/>
          <w:szCs w:val="24"/>
        </w:rPr>
        <w:t>avec suffisamment de redondance pour répondre aux exigences de disponibilité</w:t>
      </w:r>
      <w:r>
        <w:rPr>
          <w:rFonts w:ascii="Arial" w:hAnsi="Arial" w:cs="Arial"/>
          <w:sz w:val="24"/>
          <w:szCs w:val="24"/>
        </w:rPr>
        <w:t>.</w:t>
      </w:r>
    </w:p>
    <w:p w:rsidR="00086E5F" w:rsidRDefault="00086E5F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F86363" w:rsidRPr="00F86363">
        <w:rPr>
          <w:rFonts w:ascii="Arial" w:hAnsi="Arial" w:cs="Arial"/>
          <w:lang w:val="fr-FR"/>
        </w:rPr>
        <w:t>es exigences relatives à la disponibilité des services commerciaux et des systèmes d'information</w:t>
      </w:r>
      <w:r>
        <w:rPr>
          <w:rFonts w:ascii="Arial" w:hAnsi="Arial" w:cs="Arial"/>
          <w:lang w:val="fr-FR"/>
        </w:rPr>
        <w:t xml:space="preserve"> sont identifiées. U</w:t>
      </w:r>
      <w:r w:rsidR="00F86363" w:rsidRPr="00F86363">
        <w:rPr>
          <w:rFonts w:ascii="Arial" w:hAnsi="Arial" w:cs="Arial"/>
          <w:lang w:val="fr-FR"/>
        </w:rPr>
        <w:t>ne architecture de</w:t>
      </w:r>
      <w:r>
        <w:rPr>
          <w:rFonts w:ascii="Arial" w:hAnsi="Arial" w:cs="Arial"/>
          <w:lang w:val="fr-FR"/>
        </w:rPr>
        <w:t>s</w:t>
      </w:r>
      <w:r w:rsidR="00F86363" w:rsidRPr="00F86363">
        <w:rPr>
          <w:rFonts w:ascii="Arial" w:hAnsi="Arial" w:cs="Arial"/>
          <w:lang w:val="fr-FR"/>
        </w:rPr>
        <w:t xml:space="preserve"> systèmes avec une redondance appropriée </w:t>
      </w:r>
      <w:r>
        <w:rPr>
          <w:rFonts w:ascii="Arial" w:hAnsi="Arial" w:cs="Arial"/>
          <w:lang w:val="fr-FR"/>
        </w:rPr>
        <w:t>est mise en place.</w:t>
      </w: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8919FF" w:rsidRDefault="00F86363" w:rsidP="00F86363">
      <w:pPr>
        <w:pStyle w:val="Default"/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La redondance dupliqu</w:t>
      </w:r>
      <w:r w:rsidR="008919FF">
        <w:rPr>
          <w:rFonts w:ascii="Arial" w:hAnsi="Arial" w:cs="Arial"/>
          <w:lang w:val="fr-FR"/>
        </w:rPr>
        <w:t xml:space="preserve">e </w:t>
      </w:r>
      <w:r w:rsidRPr="00F86363">
        <w:rPr>
          <w:rFonts w:ascii="Arial" w:hAnsi="Arial" w:cs="Arial"/>
          <w:lang w:val="fr-FR"/>
        </w:rPr>
        <w:t xml:space="preserve">les </w:t>
      </w:r>
      <w:r w:rsidR="008919FF">
        <w:rPr>
          <w:rFonts w:ascii="Arial" w:hAnsi="Arial" w:cs="Arial"/>
          <w:lang w:val="fr-FR"/>
        </w:rPr>
        <w:t>moyens</w:t>
      </w:r>
      <w:r w:rsidRPr="00F86363">
        <w:rPr>
          <w:rFonts w:ascii="Arial" w:hAnsi="Arial" w:cs="Arial"/>
          <w:lang w:val="fr-FR"/>
        </w:rPr>
        <w:t xml:space="preserve"> de traitement de l'information en partie ou dans leur intégralité</w:t>
      </w:r>
      <w:r w:rsidR="008919FF">
        <w:rPr>
          <w:rFonts w:ascii="Arial" w:hAnsi="Arial" w:cs="Arial"/>
          <w:lang w:val="fr-FR"/>
        </w:rPr>
        <w:t>. L’activation est automatique ou manuelle selon le cas.</w:t>
      </w: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planification des </w:t>
      </w:r>
      <w:r w:rsidR="00F86363" w:rsidRPr="00F86363">
        <w:rPr>
          <w:rFonts w:ascii="Arial" w:hAnsi="Arial" w:cs="Arial"/>
          <w:lang w:val="fr-FR"/>
        </w:rPr>
        <w:t xml:space="preserve">composants redondants et des </w:t>
      </w:r>
      <w:r>
        <w:rPr>
          <w:rFonts w:ascii="Arial" w:hAnsi="Arial" w:cs="Arial"/>
          <w:lang w:val="fr-FR"/>
        </w:rPr>
        <w:t xml:space="preserve">moyens </w:t>
      </w:r>
      <w:r w:rsidR="00F86363" w:rsidRPr="00F86363">
        <w:rPr>
          <w:rFonts w:ascii="Arial" w:hAnsi="Arial" w:cs="Arial"/>
          <w:lang w:val="fr-FR"/>
        </w:rPr>
        <w:t>de traitement</w:t>
      </w:r>
      <w:r>
        <w:rPr>
          <w:rFonts w:ascii="Arial" w:hAnsi="Arial" w:cs="Arial"/>
          <w:lang w:val="fr-FR"/>
        </w:rPr>
        <w:t xml:space="preserve"> est réalisée et enregistrée dans le </w:t>
      </w:r>
      <w:r w:rsidRPr="008919FF">
        <w:rPr>
          <w:rFonts w:ascii="Arial" w:hAnsi="Arial" w:cs="Arial"/>
          <w:color w:val="0070C0"/>
          <w:lang w:val="fr-FR"/>
        </w:rPr>
        <w:t>Plan de continuité d’activité</w:t>
      </w:r>
      <w:r>
        <w:rPr>
          <w:rFonts w:ascii="Arial" w:hAnsi="Arial" w:cs="Arial"/>
          <w:lang w:val="fr-FR"/>
        </w:rPr>
        <w:t>.</w:t>
      </w: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F86363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F86363" w:rsidRPr="00F86363">
        <w:rPr>
          <w:rFonts w:ascii="Arial" w:hAnsi="Arial" w:cs="Arial"/>
          <w:lang w:val="fr-FR"/>
        </w:rPr>
        <w:t xml:space="preserve">composants redondants et les </w:t>
      </w:r>
      <w:r>
        <w:rPr>
          <w:rFonts w:ascii="Arial" w:hAnsi="Arial" w:cs="Arial"/>
          <w:lang w:val="fr-FR"/>
        </w:rPr>
        <w:t xml:space="preserve">moyens </w:t>
      </w:r>
      <w:r w:rsidR="00F86363" w:rsidRPr="00F86363">
        <w:rPr>
          <w:rFonts w:ascii="Arial" w:hAnsi="Arial" w:cs="Arial"/>
          <w:lang w:val="fr-FR"/>
        </w:rPr>
        <w:t>de traitement de l'information assure</w:t>
      </w:r>
      <w:r>
        <w:rPr>
          <w:rFonts w:ascii="Arial" w:hAnsi="Arial" w:cs="Arial"/>
          <w:lang w:val="fr-FR"/>
        </w:rPr>
        <w:t xml:space="preserve">nt </w:t>
      </w:r>
      <w:r w:rsidR="00F86363" w:rsidRPr="00F86363">
        <w:rPr>
          <w:rFonts w:ascii="Arial" w:hAnsi="Arial" w:cs="Arial"/>
          <w:lang w:val="fr-FR"/>
        </w:rPr>
        <w:t>le même nivea</w:t>
      </w:r>
      <w:r>
        <w:rPr>
          <w:rFonts w:ascii="Arial" w:hAnsi="Arial" w:cs="Arial"/>
          <w:lang w:val="fr-FR"/>
        </w:rPr>
        <w:t>u de sécurité que ceux qu’ils dupliquent</w:t>
      </w:r>
      <w:r w:rsidR="00F86363" w:rsidRPr="00F86363">
        <w:rPr>
          <w:rFonts w:ascii="Arial" w:hAnsi="Arial" w:cs="Arial"/>
          <w:lang w:val="fr-FR"/>
        </w:rPr>
        <w:t>.</w:t>
      </w:r>
    </w:p>
    <w:p w:rsidR="008919FF" w:rsidRPr="00F86363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Lors d’une </w:t>
      </w:r>
      <w:r w:rsidR="00F86363" w:rsidRPr="00F86363">
        <w:rPr>
          <w:rFonts w:ascii="Arial" w:hAnsi="Arial" w:cs="Arial"/>
          <w:lang w:val="fr-FR"/>
        </w:rPr>
        <w:t xml:space="preserve">défaillance des </w:t>
      </w:r>
      <w:r>
        <w:rPr>
          <w:rFonts w:ascii="Arial" w:hAnsi="Arial" w:cs="Arial"/>
          <w:lang w:val="fr-FR"/>
        </w:rPr>
        <w:t xml:space="preserve">moyens </w:t>
      </w:r>
      <w:r w:rsidR="00F86363" w:rsidRPr="00F86363">
        <w:rPr>
          <w:rFonts w:ascii="Arial" w:hAnsi="Arial" w:cs="Arial"/>
          <w:lang w:val="fr-FR"/>
        </w:rPr>
        <w:t>de traitement de l'information</w:t>
      </w:r>
      <w:r>
        <w:rPr>
          <w:rFonts w:ascii="Arial" w:hAnsi="Arial" w:cs="Arial"/>
          <w:lang w:val="fr-FR"/>
        </w:rPr>
        <w:t xml:space="preserve">, </w:t>
      </w:r>
      <w:r w:rsidR="00F86363" w:rsidRPr="00F86363">
        <w:rPr>
          <w:rFonts w:ascii="Arial" w:hAnsi="Arial" w:cs="Arial"/>
          <w:lang w:val="fr-FR"/>
        </w:rPr>
        <w:t xml:space="preserve">l'exécution de la procédure prévue </w:t>
      </w:r>
      <w:r>
        <w:rPr>
          <w:rFonts w:ascii="Arial" w:hAnsi="Arial" w:cs="Arial"/>
          <w:lang w:val="fr-FR"/>
        </w:rPr>
        <w:t>permet</w:t>
      </w:r>
      <w:r w:rsidR="00F86363" w:rsidRPr="00F86363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la </w:t>
      </w:r>
      <w:r w:rsidR="00F86363" w:rsidRPr="00F86363">
        <w:rPr>
          <w:rFonts w:ascii="Arial" w:hAnsi="Arial" w:cs="Arial"/>
          <w:lang w:val="fr-FR"/>
        </w:rPr>
        <w:t xml:space="preserve">disponibilité continue pendant </w:t>
      </w:r>
      <w:r>
        <w:rPr>
          <w:rFonts w:ascii="Arial" w:hAnsi="Arial" w:cs="Arial"/>
          <w:lang w:val="fr-FR"/>
        </w:rPr>
        <w:t>la réparation ou le remplacement des composants hors service.</w:t>
      </w:r>
    </w:p>
    <w:p w:rsidR="00735F53" w:rsidRDefault="00735F53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L’application de </w:t>
      </w:r>
      <w:r w:rsidRPr="00F86363">
        <w:rPr>
          <w:rFonts w:ascii="Arial" w:hAnsi="Arial" w:cs="Arial"/>
          <w:lang w:val="fr-FR"/>
        </w:rPr>
        <w:t>systèmes redondants </w:t>
      </w:r>
      <w:r>
        <w:rPr>
          <w:rFonts w:ascii="Arial" w:hAnsi="Arial" w:cs="Arial"/>
          <w:lang w:val="fr-FR"/>
        </w:rPr>
        <w:t>prend en compte les éléments suivants :</w:t>
      </w: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F86363" w:rsidRPr="00F86363" w:rsidRDefault="00F86363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 xml:space="preserve">passer </w:t>
      </w:r>
      <w:r w:rsidR="00AC5BA0">
        <w:rPr>
          <w:rFonts w:ascii="Arial" w:hAnsi="Arial" w:cs="Arial"/>
          <w:lang w:val="fr-FR"/>
        </w:rPr>
        <w:t xml:space="preserve">un </w:t>
      </w:r>
      <w:r w:rsidRPr="00F86363">
        <w:rPr>
          <w:rFonts w:ascii="Arial" w:hAnsi="Arial" w:cs="Arial"/>
          <w:lang w:val="fr-FR"/>
        </w:rPr>
        <w:t>contrat avec deux</w:t>
      </w:r>
      <w:r w:rsidR="00AC5BA0">
        <w:rPr>
          <w:rFonts w:ascii="Arial" w:hAnsi="Arial" w:cs="Arial"/>
          <w:lang w:val="fr-FR"/>
        </w:rPr>
        <w:t xml:space="preserve">ième </w:t>
      </w:r>
      <w:r w:rsidRPr="00F86363">
        <w:rPr>
          <w:rFonts w:ascii="Arial" w:hAnsi="Arial" w:cs="Arial"/>
          <w:lang w:val="fr-FR"/>
        </w:rPr>
        <w:t>fournisseur d'installation de réseau et de traitement d'informations critiques</w:t>
      </w:r>
      <w:r w:rsidR="00AC5BA0">
        <w:rPr>
          <w:rFonts w:ascii="Arial" w:hAnsi="Arial" w:cs="Arial"/>
          <w:lang w:val="fr-FR"/>
        </w:rPr>
        <w:t xml:space="preserve"> (</w:t>
      </w:r>
      <w:r w:rsidRPr="00F86363">
        <w:rPr>
          <w:rFonts w:ascii="Arial" w:hAnsi="Arial" w:cs="Arial"/>
          <w:lang w:val="fr-FR"/>
        </w:rPr>
        <w:t>Internet</w:t>
      </w:r>
      <w:r w:rsidR="00AC5BA0">
        <w:rPr>
          <w:rFonts w:ascii="Arial" w:hAnsi="Arial" w:cs="Arial"/>
          <w:lang w:val="fr-FR"/>
        </w:rPr>
        <w:t>, services en nuage)</w:t>
      </w:r>
    </w:p>
    <w:p w:rsidR="00F86363" w:rsidRPr="00F86363" w:rsidRDefault="00F86363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utilis</w:t>
      </w:r>
      <w:r w:rsidR="00AC5BA0">
        <w:rPr>
          <w:rFonts w:ascii="Arial" w:hAnsi="Arial" w:cs="Arial"/>
          <w:lang w:val="fr-FR"/>
        </w:rPr>
        <w:t>er des réseaux redondants</w:t>
      </w:r>
    </w:p>
    <w:p w:rsidR="00F86363" w:rsidRPr="00F86363" w:rsidRDefault="00F86363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utilis</w:t>
      </w:r>
      <w:r w:rsidR="00AC5BA0">
        <w:rPr>
          <w:rFonts w:ascii="Arial" w:hAnsi="Arial" w:cs="Arial"/>
          <w:lang w:val="fr-FR"/>
        </w:rPr>
        <w:t xml:space="preserve">er </w:t>
      </w:r>
      <w:r w:rsidRPr="00F86363">
        <w:rPr>
          <w:rFonts w:ascii="Arial" w:hAnsi="Arial" w:cs="Arial"/>
          <w:lang w:val="fr-FR"/>
        </w:rPr>
        <w:t>deux centres de données géographiquement sépar</w:t>
      </w:r>
      <w:r w:rsidR="00AC5BA0">
        <w:rPr>
          <w:rFonts w:ascii="Arial" w:hAnsi="Arial" w:cs="Arial"/>
          <w:lang w:val="fr-FR"/>
        </w:rPr>
        <w:t>és avec des systèmes en miroir</w:t>
      </w:r>
    </w:p>
    <w:p w:rsidR="00F86363" w:rsidRPr="00F86363" w:rsidRDefault="00F86363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utiliser des alimentations physiquement redondantes</w:t>
      </w:r>
    </w:p>
    <w:p w:rsidR="00F86363" w:rsidRPr="00AC5BA0" w:rsidRDefault="00F86363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AC5BA0">
        <w:rPr>
          <w:rFonts w:ascii="Arial" w:hAnsi="Arial" w:cs="Arial"/>
          <w:lang w:val="fr-FR"/>
        </w:rPr>
        <w:t>utilis</w:t>
      </w:r>
      <w:r w:rsidR="00AC5BA0" w:rsidRPr="00AC5BA0">
        <w:rPr>
          <w:rFonts w:ascii="Arial" w:hAnsi="Arial" w:cs="Arial"/>
          <w:lang w:val="fr-FR"/>
        </w:rPr>
        <w:t xml:space="preserve">er </w:t>
      </w:r>
      <w:r w:rsidRPr="00AC5BA0">
        <w:rPr>
          <w:rFonts w:ascii="Arial" w:hAnsi="Arial" w:cs="Arial"/>
          <w:lang w:val="fr-FR"/>
        </w:rPr>
        <w:t>plusieurs instances parallèles de composants logiciels</w:t>
      </w:r>
      <w:r w:rsidR="00AC5BA0" w:rsidRPr="00AC5BA0">
        <w:rPr>
          <w:rFonts w:ascii="Arial" w:hAnsi="Arial" w:cs="Arial"/>
          <w:lang w:val="fr-FR"/>
        </w:rPr>
        <w:t xml:space="preserve"> </w:t>
      </w:r>
      <w:r w:rsidR="00AC5BA0">
        <w:rPr>
          <w:rFonts w:ascii="Arial" w:hAnsi="Arial" w:cs="Arial"/>
          <w:lang w:val="fr-FR"/>
        </w:rPr>
        <w:t>(centres de données différents)</w:t>
      </w:r>
    </w:p>
    <w:p w:rsidR="00F86363" w:rsidRPr="00F86363" w:rsidRDefault="00AC5BA0" w:rsidP="008919FF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posséder </w:t>
      </w:r>
      <w:r w:rsidR="00F86363" w:rsidRPr="00F86363">
        <w:rPr>
          <w:rFonts w:ascii="Arial" w:hAnsi="Arial" w:cs="Arial"/>
          <w:lang w:val="fr-FR"/>
        </w:rPr>
        <w:t>des composants dupliqués dans les systèmes (CPU, disques durs, mémoires) ou dans les réseaux (pa</w:t>
      </w:r>
      <w:r>
        <w:rPr>
          <w:rFonts w:ascii="Arial" w:hAnsi="Arial" w:cs="Arial"/>
          <w:lang w:val="fr-FR"/>
        </w:rPr>
        <w:t>re-feu, routeurs, commutateurs)</w:t>
      </w:r>
    </w:p>
    <w:p w:rsidR="008919FF" w:rsidRDefault="008919FF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F86363" w:rsidRDefault="00F86363" w:rsidP="00F86363">
      <w:pPr>
        <w:pStyle w:val="Default"/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Le cas échéant, de préférence en mode de production, les systèmes d'information redondants doivent être testés pour s'assurer que le basculement d'un composant à un autre fonctionne comme prévu.</w:t>
      </w:r>
    </w:p>
    <w:p w:rsidR="00AC5BA0" w:rsidRPr="00F86363" w:rsidRDefault="00AC5BA0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735F53" w:rsidRDefault="00735F53" w:rsidP="00F8636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F86363" w:rsidRPr="00F86363">
        <w:rPr>
          <w:rFonts w:ascii="Arial" w:hAnsi="Arial" w:cs="Arial"/>
          <w:lang w:val="fr-FR"/>
        </w:rPr>
        <w:t xml:space="preserve">a préparation des TIC </w:t>
      </w:r>
      <w:r>
        <w:rPr>
          <w:rFonts w:ascii="Arial" w:hAnsi="Arial" w:cs="Arial"/>
          <w:lang w:val="fr-FR"/>
        </w:rPr>
        <w:t xml:space="preserve">selon la procédure </w:t>
      </w:r>
      <w:r w:rsidRPr="00735F53">
        <w:rPr>
          <w:rFonts w:ascii="Arial" w:hAnsi="Arial" w:cs="Arial"/>
          <w:color w:val="0070C0"/>
          <w:lang w:val="fr-FR"/>
        </w:rPr>
        <w:t xml:space="preserve">Continuité d’activité </w:t>
      </w:r>
      <w:r>
        <w:rPr>
          <w:rFonts w:ascii="Arial" w:hAnsi="Arial" w:cs="Arial"/>
          <w:lang w:val="fr-FR"/>
        </w:rPr>
        <w:t xml:space="preserve">est </w:t>
      </w:r>
      <w:r w:rsidR="002F5A90">
        <w:rPr>
          <w:rFonts w:ascii="Arial" w:hAnsi="Arial" w:cs="Arial"/>
          <w:lang w:val="fr-FR"/>
        </w:rPr>
        <w:t xml:space="preserve">aussi </w:t>
      </w:r>
      <w:r>
        <w:rPr>
          <w:rFonts w:ascii="Arial" w:hAnsi="Arial" w:cs="Arial"/>
          <w:lang w:val="fr-FR"/>
        </w:rPr>
        <w:t>valable pour la redondance des moyens, surtout</w:t>
      </w:r>
      <w:r w:rsidR="00F86363" w:rsidRPr="00F86363">
        <w:rPr>
          <w:rFonts w:ascii="Arial" w:hAnsi="Arial" w:cs="Arial"/>
          <w:lang w:val="fr-FR"/>
        </w:rPr>
        <w:t xml:space="preserve"> si des temps de récupération courts sont nécessaires. </w:t>
      </w:r>
    </w:p>
    <w:p w:rsidR="00735F53" w:rsidRDefault="00735F53" w:rsidP="00F86363">
      <w:pPr>
        <w:pStyle w:val="Default"/>
        <w:jc w:val="both"/>
        <w:rPr>
          <w:rFonts w:ascii="Arial" w:hAnsi="Arial" w:cs="Arial"/>
          <w:lang w:val="fr-FR"/>
        </w:rPr>
      </w:pPr>
    </w:p>
    <w:p w:rsidR="00D54860" w:rsidRDefault="00F86363" w:rsidP="00F86363">
      <w:pPr>
        <w:pStyle w:val="Default"/>
        <w:jc w:val="both"/>
        <w:rPr>
          <w:rFonts w:ascii="Arial" w:hAnsi="Arial" w:cs="Arial"/>
          <w:lang w:val="fr-FR"/>
        </w:rPr>
      </w:pPr>
      <w:r w:rsidRPr="00F86363">
        <w:rPr>
          <w:rFonts w:ascii="Arial" w:hAnsi="Arial" w:cs="Arial"/>
          <w:lang w:val="fr-FR"/>
        </w:rPr>
        <w:t>La mise en œuvre de redondances peut introduire des risques pour l'intégrité ou la confidentialité de</w:t>
      </w:r>
      <w:r w:rsidR="002F5A90">
        <w:rPr>
          <w:rFonts w:ascii="Arial" w:hAnsi="Arial" w:cs="Arial"/>
          <w:lang w:val="fr-FR"/>
        </w:rPr>
        <w:t xml:space="preserve"> l’information</w:t>
      </w:r>
      <w:r w:rsidRPr="00F86363">
        <w:rPr>
          <w:rFonts w:ascii="Arial" w:hAnsi="Arial" w:cs="Arial"/>
          <w:lang w:val="fr-FR"/>
        </w:rPr>
        <w:t xml:space="preserve"> et des systèmes d'information, qui </w:t>
      </w:r>
      <w:r w:rsidR="002F5A90">
        <w:rPr>
          <w:rFonts w:ascii="Arial" w:hAnsi="Arial" w:cs="Arial"/>
          <w:lang w:val="fr-FR"/>
        </w:rPr>
        <w:t xml:space="preserve">sont </w:t>
      </w:r>
      <w:r w:rsidRPr="00F86363">
        <w:rPr>
          <w:rFonts w:ascii="Arial" w:hAnsi="Arial" w:cs="Arial"/>
          <w:lang w:val="fr-FR"/>
        </w:rPr>
        <w:t>pris en compte lors de la conce</w:t>
      </w:r>
      <w:r w:rsidR="002F5A90">
        <w:rPr>
          <w:rFonts w:ascii="Arial" w:hAnsi="Arial" w:cs="Arial"/>
          <w:lang w:val="fr-FR"/>
        </w:rPr>
        <w:t xml:space="preserve">ption </w:t>
      </w:r>
      <w:r w:rsidRPr="00F86363">
        <w:rPr>
          <w:rFonts w:ascii="Arial" w:hAnsi="Arial" w:cs="Arial"/>
          <w:lang w:val="fr-FR"/>
        </w:rPr>
        <w:t>des systèmes d'information.</w:t>
      </w:r>
    </w:p>
    <w:sectPr w:rsidR="00D54860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51" w:rsidRDefault="00533D51">
      <w:r>
        <w:separator/>
      </w:r>
    </w:p>
  </w:endnote>
  <w:endnote w:type="continuationSeparator" w:id="0">
    <w:p w:rsidR="00533D51" w:rsidRDefault="0053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51" w:rsidRDefault="00533D51">
      <w:r>
        <w:separator/>
      </w:r>
    </w:p>
  </w:footnote>
  <w:footnote w:type="continuationSeparator" w:id="0">
    <w:p w:rsidR="00533D51" w:rsidRDefault="00533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8"/>
      <w:gridCol w:w="3350"/>
      <w:gridCol w:w="3242"/>
    </w:tblGrid>
    <w:tr w:rsidR="00976B3F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4820A1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Redondance des moyens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4820A1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4820A1">
            <w:rPr>
              <w:rFonts w:ascii="Arial" w:hAnsi="Arial" w:cs="Arial"/>
              <w:szCs w:val="22"/>
            </w:rPr>
            <w:t>7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976B3F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AB3E9A">
            <w:rPr>
              <w:rFonts w:ascii="Arial" w:hAnsi="Arial" w:cs="Arial"/>
              <w:noProof/>
              <w:szCs w:val="22"/>
            </w:rPr>
            <w:t>09/04/2023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B3E9A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B3E9A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61079"/>
    <w:multiLevelType w:val="hybridMultilevel"/>
    <w:tmpl w:val="390CEB7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640DB3"/>
    <w:multiLevelType w:val="hybridMultilevel"/>
    <w:tmpl w:val="661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6509D6"/>
    <w:multiLevelType w:val="hybridMultilevel"/>
    <w:tmpl w:val="61520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28"/>
  </w:num>
  <w:num w:numId="5">
    <w:abstractNumId w:val="19"/>
  </w:num>
  <w:num w:numId="6">
    <w:abstractNumId w:val="2"/>
  </w:num>
  <w:num w:numId="7">
    <w:abstractNumId w:val="8"/>
  </w:num>
  <w:num w:numId="8">
    <w:abstractNumId w:val="17"/>
  </w:num>
  <w:num w:numId="9">
    <w:abstractNumId w:val="13"/>
  </w:num>
  <w:num w:numId="10">
    <w:abstractNumId w:val="20"/>
  </w:num>
  <w:num w:numId="11">
    <w:abstractNumId w:val="29"/>
  </w:num>
  <w:num w:numId="12">
    <w:abstractNumId w:val="21"/>
  </w:num>
  <w:num w:numId="13">
    <w:abstractNumId w:val="22"/>
  </w:num>
  <w:num w:numId="14">
    <w:abstractNumId w:val="0"/>
  </w:num>
  <w:num w:numId="15">
    <w:abstractNumId w:val="14"/>
  </w:num>
  <w:num w:numId="16">
    <w:abstractNumId w:val="10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9"/>
  </w:num>
  <w:num w:numId="22">
    <w:abstractNumId w:val="1"/>
  </w:num>
  <w:num w:numId="23">
    <w:abstractNumId w:val="24"/>
  </w:num>
  <w:num w:numId="24">
    <w:abstractNumId w:val="7"/>
  </w:num>
  <w:num w:numId="25">
    <w:abstractNumId w:val="27"/>
  </w:num>
  <w:num w:numId="26">
    <w:abstractNumId w:val="11"/>
  </w:num>
  <w:num w:numId="27">
    <w:abstractNumId w:val="6"/>
  </w:num>
  <w:num w:numId="28">
    <w:abstractNumId w:val="15"/>
  </w:num>
  <w:num w:numId="29">
    <w:abstractNumId w:val="26"/>
  </w:num>
  <w:num w:numId="30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550FA"/>
    <w:rsid w:val="000656BE"/>
    <w:rsid w:val="00086E5F"/>
    <w:rsid w:val="000D60C0"/>
    <w:rsid w:val="001014BF"/>
    <w:rsid w:val="00107E41"/>
    <w:rsid w:val="00126AAE"/>
    <w:rsid w:val="001353C9"/>
    <w:rsid w:val="00165906"/>
    <w:rsid w:val="001B70D3"/>
    <w:rsid w:val="001C3AB6"/>
    <w:rsid w:val="001D44F8"/>
    <w:rsid w:val="001D4766"/>
    <w:rsid w:val="002176BD"/>
    <w:rsid w:val="002362F9"/>
    <w:rsid w:val="00236E31"/>
    <w:rsid w:val="002523E8"/>
    <w:rsid w:val="00265E1A"/>
    <w:rsid w:val="00277163"/>
    <w:rsid w:val="0029524C"/>
    <w:rsid w:val="002A43D4"/>
    <w:rsid w:val="002B2911"/>
    <w:rsid w:val="002D6AFF"/>
    <w:rsid w:val="002F5A90"/>
    <w:rsid w:val="00312522"/>
    <w:rsid w:val="00334116"/>
    <w:rsid w:val="00334817"/>
    <w:rsid w:val="003613A8"/>
    <w:rsid w:val="003726FA"/>
    <w:rsid w:val="00373453"/>
    <w:rsid w:val="00375F10"/>
    <w:rsid w:val="003A6BB2"/>
    <w:rsid w:val="003D19EB"/>
    <w:rsid w:val="003D4A5B"/>
    <w:rsid w:val="003D5F81"/>
    <w:rsid w:val="00427E7C"/>
    <w:rsid w:val="0047650E"/>
    <w:rsid w:val="00481919"/>
    <w:rsid w:val="004820A1"/>
    <w:rsid w:val="004C4851"/>
    <w:rsid w:val="004D07AC"/>
    <w:rsid w:val="00515444"/>
    <w:rsid w:val="00533D51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E46BD"/>
    <w:rsid w:val="005F5335"/>
    <w:rsid w:val="005F70EB"/>
    <w:rsid w:val="00693FD1"/>
    <w:rsid w:val="006C6266"/>
    <w:rsid w:val="00705CC1"/>
    <w:rsid w:val="0071673F"/>
    <w:rsid w:val="007209B3"/>
    <w:rsid w:val="00735F53"/>
    <w:rsid w:val="0076593C"/>
    <w:rsid w:val="00772177"/>
    <w:rsid w:val="0077256F"/>
    <w:rsid w:val="00777487"/>
    <w:rsid w:val="00781F4A"/>
    <w:rsid w:val="007E3885"/>
    <w:rsid w:val="008273DA"/>
    <w:rsid w:val="0087061C"/>
    <w:rsid w:val="008919FF"/>
    <w:rsid w:val="00895DA2"/>
    <w:rsid w:val="0089659F"/>
    <w:rsid w:val="008A2004"/>
    <w:rsid w:val="008E6DEA"/>
    <w:rsid w:val="00970304"/>
    <w:rsid w:val="00976B3F"/>
    <w:rsid w:val="00987B02"/>
    <w:rsid w:val="009A1041"/>
    <w:rsid w:val="009E4A30"/>
    <w:rsid w:val="009F6597"/>
    <w:rsid w:val="00A2014A"/>
    <w:rsid w:val="00A4786C"/>
    <w:rsid w:val="00A47AD9"/>
    <w:rsid w:val="00AB3E9A"/>
    <w:rsid w:val="00AB4BFC"/>
    <w:rsid w:val="00AC5BA0"/>
    <w:rsid w:val="00AE180F"/>
    <w:rsid w:val="00B25076"/>
    <w:rsid w:val="00B525BD"/>
    <w:rsid w:val="00B7048C"/>
    <w:rsid w:val="00B94FA2"/>
    <w:rsid w:val="00BC1E7E"/>
    <w:rsid w:val="00BF3BE9"/>
    <w:rsid w:val="00BF680B"/>
    <w:rsid w:val="00C03916"/>
    <w:rsid w:val="00C644C6"/>
    <w:rsid w:val="00CB3E72"/>
    <w:rsid w:val="00CC090E"/>
    <w:rsid w:val="00CE7144"/>
    <w:rsid w:val="00CF7292"/>
    <w:rsid w:val="00D26674"/>
    <w:rsid w:val="00D5013B"/>
    <w:rsid w:val="00D54860"/>
    <w:rsid w:val="00D7348B"/>
    <w:rsid w:val="00DA2E61"/>
    <w:rsid w:val="00DA4A84"/>
    <w:rsid w:val="00E54989"/>
    <w:rsid w:val="00EB04DC"/>
    <w:rsid w:val="00ED1F06"/>
    <w:rsid w:val="00ED444D"/>
    <w:rsid w:val="00EE2781"/>
    <w:rsid w:val="00EF2D01"/>
    <w:rsid w:val="00F22A7B"/>
    <w:rsid w:val="00F2328C"/>
    <w:rsid w:val="00F2345B"/>
    <w:rsid w:val="00F84510"/>
    <w:rsid w:val="00F86363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Redondance des moyens</vt:lpstr>
    </vt:vector>
  </TitlesOfParts>
  <Company>PRIVE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Redondance des moyens</dc:title>
  <dc:creator>AMI</dc:creator>
  <cp:lastModifiedBy>AMI</cp:lastModifiedBy>
  <cp:revision>10</cp:revision>
  <cp:lastPrinted>2016-01-15T08:56:00Z</cp:lastPrinted>
  <dcterms:created xsi:type="dcterms:W3CDTF">2022-11-27T16:43:00Z</dcterms:created>
  <dcterms:modified xsi:type="dcterms:W3CDTF">2023-04-09T07:20:00Z</dcterms:modified>
</cp:coreProperties>
</file>