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A47AD9" w:rsidP="00F22A7B">
      <w:pPr>
        <w:pStyle w:val="Titre"/>
      </w:pPr>
      <w:r w:rsidRPr="00A47AD9">
        <w:t>Supports de stockage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F84145" w:rsidRDefault="00F8414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84145" w:rsidRPr="00F84145" w:rsidRDefault="00F84145" w:rsidP="00F84145">
      <w:pPr>
        <w:pStyle w:val="Default"/>
        <w:jc w:val="both"/>
        <w:rPr>
          <w:rFonts w:ascii="Arial" w:hAnsi="Arial" w:cs="Arial"/>
          <w:b/>
          <w:lang w:val="fr-FR"/>
        </w:rPr>
      </w:pPr>
      <w:r w:rsidRPr="002C5701">
        <w:rPr>
          <w:rFonts w:ascii="Arial" w:hAnsi="Arial" w:cs="Arial"/>
          <w:b/>
          <w:lang w:val="fr-FR"/>
        </w:rPr>
        <w:tab/>
      </w:r>
      <w:r w:rsidRPr="00F84145">
        <w:rPr>
          <w:rFonts w:ascii="Arial" w:hAnsi="Arial" w:cs="Arial"/>
          <w:b/>
          <w:lang w:val="fr-FR"/>
        </w:rPr>
        <w:t>5.1 Supports de stockage amovibles</w:t>
      </w:r>
    </w:p>
    <w:p w:rsidR="00F84145" w:rsidRDefault="00F84145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5.2 Réutilisation ou élimination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F74A7" w:rsidRDefault="00EF74A7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F2328C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>
        <w:rPr>
          <w:rFonts w:ascii="Arial" w:hAnsi="Arial" w:cs="Arial"/>
          <w:sz w:val="24"/>
          <w:szCs w:val="24"/>
        </w:rPr>
        <w:t xml:space="preserve">de </w:t>
      </w:r>
      <w:r w:rsidR="00F2328C" w:rsidRPr="00F2328C">
        <w:rPr>
          <w:rFonts w:ascii="Arial" w:hAnsi="Arial" w:cs="Arial"/>
          <w:sz w:val="24"/>
          <w:szCs w:val="24"/>
        </w:rPr>
        <w:t>garantir uniquement la divulgation, la modification, la suppression ou la destruction autorisée de l’information sur les supports de stockage.</w:t>
      </w:r>
    </w:p>
    <w:p w:rsidR="00F2328C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024D76" w:rsidP="00F22A7B">
      <w:pPr>
        <w:jc w:val="both"/>
        <w:rPr>
          <w:rFonts w:ascii="Arial" w:hAnsi="Arial" w:cs="Arial"/>
          <w:sz w:val="24"/>
          <w:szCs w:val="24"/>
        </w:rPr>
      </w:pPr>
      <w:r w:rsidRPr="00024D76">
        <w:rPr>
          <w:rFonts w:ascii="Arial" w:hAnsi="Arial" w:cs="Arial"/>
          <w:sz w:val="24"/>
          <w:szCs w:val="24"/>
        </w:rPr>
        <w:t>Le domaine d’application de la procédure « S</w:t>
      </w:r>
      <w:r>
        <w:rPr>
          <w:rFonts w:ascii="Arial" w:hAnsi="Arial" w:cs="Arial"/>
          <w:sz w:val="24"/>
          <w:szCs w:val="24"/>
        </w:rPr>
        <w:t>upports de stockage</w:t>
      </w:r>
      <w:r w:rsidRPr="00024D76">
        <w:rPr>
          <w:rFonts w:ascii="Arial" w:hAnsi="Arial" w:cs="Arial"/>
          <w:sz w:val="24"/>
          <w:szCs w:val="24"/>
        </w:rPr>
        <w:t xml:space="preserve"> » s’applique à l’ensemble du personnel ayant accès </w:t>
      </w:r>
      <w:r>
        <w:rPr>
          <w:rFonts w:ascii="Arial" w:hAnsi="Arial" w:cs="Arial"/>
          <w:sz w:val="24"/>
          <w:szCs w:val="24"/>
        </w:rPr>
        <w:t>supports de stockage</w:t>
      </w:r>
      <w:r w:rsidRPr="00024D76">
        <w:rPr>
          <w:rFonts w:ascii="Arial" w:hAnsi="Arial" w:cs="Arial"/>
          <w:sz w:val="24"/>
          <w:szCs w:val="24"/>
        </w:rPr>
        <w:t>.</w:t>
      </w:r>
    </w:p>
    <w:p w:rsidR="00024D76" w:rsidRDefault="00024D76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84145" w:rsidRDefault="00F84145" w:rsidP="00ED1F06">
      <w:pPr>
        <w:jc w:val="both"/>
        <w:rPr>
          <w:rFonts w:ascii="Arial" w:hAnsi="Arial" w:cs="Arial"/>
          <w:sz w:val="24"/>
          <w:szCs w:val="24"/>
        </w:rPr>
      </w:pPr>
      <w:r w:rsidRPr="00F84145">
        <w:rPr>
          <w:rFonts w:ascii="Arial" w:hAnsi="Arial" w:cs="Arial"/>
          <w:sz w:val="24"/>
          <w:szCs w:val="24"/>
        </w:rPr>
        <w:t>Supports de stockage</w:t>
      </w:r>
    </w:p>
    <w:p w:rsidR="00F84145" w:rsidRDefault="00F84145" w:rsidP="00ED1F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Sortie des actifs</w:t>
      </w:r>
    </w:p>
    <w:p w:rsidR="00812954" w:rsidRDefault="00812954" w:rsidP="00812954">
      <w:pPr>
        <w:jc w:val="both"/>
        <w:rPr>
          <w:rFonts w:ascii="Arial" w:hAnsi="Arial" w:cs="Arial"/>
          <w:sz w:val="24"/>
          <w:szCs w:val="24"/>
        </w:rPr>
      </w:pPr>
      <w:r w:rsidRPr="001D44F8">
        <w:rPr>
          <w:rFonts w:ascii="Arial" w:hAnsi="Arial" w:cs="Arial"/>
          <w:sz w:val="24"/>
          <w:szCs w:val="24"/>
        </w:rPr>
        <w:t>Plan de classification</w:t>
      </w:r>
    </w:p>
    <w:p w:rsidR="00812954" w:rsidRPr="001D44F8" w:rsidRDefault="00812954" w:rsidP="008129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Transfert de l’information</w:t>
      </w:r>
    </w:p>
    <w:p w:rsidR="00812954" w:rsidRPr="00F84145" w:rsidRDefault="00812954" w:rsidP="0081295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Données de transfert</w:t>
      </w:r>
    </w:p>
    <w:p w:rsidR="00F84145" w:rsidRDefault="002C5701" w:rsidP="00ED1F06">
      <w:pPr>
        <w:jc w:val="both"/>
        <w:rPr>
          <w:rFonts w:ascii="Arial" w:hAnsi="Arial" w:cs="Arial"/>
          <w:sz w:val="24"/>
          <w:szCs w:val="24"/>
        </w:rPr>
      </w:pPr>
      <w:r w:rsidRPr="002C5701">
        <w:rPr>
          <w:rFonts w:ascii="Arial" w:hAnsi="Arial" w:cs="Arial"/>
          <w:sz w:val="24"/>
          <w:szCs w:val="24"/>
        </w:rPr>
        <w:t>Inventaire des rebuts</w:t>
      </w:r>
    </w:p>
    <w:p w:rsidR="002C5701" w:rsidRDefault="002C5701" w:rsidP="00ED1F06">
      <w:pPr>
        <w:jc w:val="both"/>
        <w:rPr>
          <w:rFonts w:ascii="Arial" w:hAnsi="Arial" w:cs="Arial"/>
          <w:sz w:val="24"/>
          <w:szCs w:val="24"/>
        </w:rPr>
      </w:pPr>
      <w:r w:rsidRPr="002C5701">
        <w:rPr>
          <w:rFonts w:ascii="Arial" w:hAnsi="Arial" w:cs="Arial"/>
          <w:sz w:val="24"/>
          <w:szCs w:val="24"/>
        </w:rPr>
        <w:t>Suppression de l’information</w:t>
      </w:r>
    </w:p>
    <w:p w:rsidR="002C5701" w:rsidRDefault="002C5701" w:rsidP="00ED1F06">
      <w:pPr>
        <w:jc w:val="both"/>
        <w:rPr>
          <w:rFonts w:ascii="Arial" w:hAnsi="Arial" w:cs="Arial"/>
          <w:sz w:val="24"/>
          <w:szCs w:val="24"/>
        </w:rPr>
      </w:pPr>
      <w:r w:rsidRPr="002C5701">
        <w:rPr>
          <w:rFonts w:ascii="Arial" w:hAnsi="Arial" w:cs="Arial"/>
          <w:sz w:val="24"/>
          <w:szCs w:val="24"/>
        </w:rPr>
        <w:t>Relations avec les fournisseurs</w:t>
      </w:r>
    </w:p>
    <w:p w:rsidR="002C5701" w:rsidRPr="002C5701" w:rsidRDefault="00182978" w:rsidP="00ED1F06">
      <w:pPr>
        <w:jc w:val="both"/>
        <w:rPr>
          <w:rFonts w:ascii="Arial" w:hAnsi="Arial" w:cs="Arial"/>
          <w:sz w:val="24"/>
          <w:szCs w:val="24"/>
        </w:rPr>
      </w:pPr>
      <w:r w:rsidRPr="00182978">
        <w:rPr>
          <w:rFonts w:ascii="Arial" w:hAnsi="Arial" w:cs="Arial"/>
          <w:sz w:val="24"/>
          <w:szCs w:val="24"/>
        </w:rPr>
        <w:t>Utilisation de la cryptographie</w:t>
      </w:r>
    </w:p>
    <w:p w:rsidR="00515444" w:rsidRDefault="00515444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Inventaire des actifs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C6266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F2328C">
        <w:rPr>
          <w:rFonts w:ascii="Arial" w:hAnsi="Arial" w:cs="Arial"/>
          <w:sz w:val="24"/>
          <w:szCs w:val="24"/>
        </w:rPr>
        <w:t>7.10 Supports de stockage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F2328C" w:rsidRDefault="00F2328C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F2328C">
        <w:rPr>
          <w:rFonts w:ascii="Arial" w:hAnsi="Arial" w:cs="Arial"/>
          <w:sz w:val="24"/>
          <w:szCs w:val="24"/>
        </w:rPr>
        <w:t xml:space="preserve">es supports de stockage </w:t>
      </w:r>
      <w:r>
        <w:rPr>
          <w:rFonts w:ascii="Arial" w:hAnsi="Arial" w:cs="Arial"/>
          <w:sz w:val="24"/>
          <w:szCs w:val="24"/>
        </w:rPr>
        <w:t xml:space="preserve">doivent être gérés </w:t>
      </w:r>
      <w:r w:rsidRPr="00F2328C">
        <w:rPr>
          <w:rFonts w:ascii="Arial" w:hAnsi="Arial" w:cs="Arial"/>
          <w:sz w:val="24"/>
          <w:szCs w:val="24"/>
        </w:rPr>
        <w:t xml:space="preserve">tout au long de leur cycle de vie (acquisition, utilisation, transport et mise au rebut) selon </w:t>
      </w:r>
      <w:r>
        <w:rPr>
          <w:rFonts w:ascii="Arial" w:hAnsi="Arial" w:cs="Arial"/>
          <w:sz w:val="24"/>
          <w:szCs w:val="24"/>
        </w:rPr>
        <w:t>le schéma de classification et les exigences de traitement de l'organisation.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F84145" w:rsidRPr="00F84145" w:rsidRDefault="00F84145" w:rsidP="00F84145">
      <w:pPr>
        <w:pStyle w:val="Default"/>
        <w:jc w:val="both"/>
        <w:rPr>
          <w:rFonts w:ascii="Arial" w:hAnsi="Arial" w:cs="Arial"/>
          <w:b/>
          <w:lang w:val="fr-FR"/>
        </w:rPr>
      </w:pPr>
      <w:r w:rsidRPr="00F84145">
        <w:rPr>
          <w:rFonts w:ascii="Arial" w:hAnsi="Arial" w:cs="Arial"/>
          <w:b/>
          <w:lang w:val="fr-FR"/>
        </w:rPr>
        <w:t>5.1 Supports de stockage amovibles</w:t>
      </w:r>
    </w:p>
    <w:p w:rsidR="00F84145" w:rsidRPr="00F84145" w:rsidRDefault="00F84145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182978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</w:t>
      </w:r>
      <w:r w:rsidRPr="00D54860">
        <w:rPr>
          <w:rFonts w:ascii="Arial" w:hAnsi="Arial" w:cs="Arial"/>
          <w:lang w:val="fr-FR"/>
        </w:rPr>
        <w:t xml:space="preserve">protéger physiquement les supports afin d'empêcher la divulgation, la modification, le retrait ou la destruction non autorisé </w:t>
      </w:r>
      <w:r>
        <w:rPr>
          <w:rFonts w:ascii="Arial" w:hAnsi="Arial" w:cs="Arial"/>
          <w:lang w:val="fr-FR"/>
        </w:rPr>
        <w:t xml:space="preserve">de toute information </w:t>
      </w:r>
      <w:r w:rsidRPr="00D54860">
        <w:rPr>
          <w:rFonts w:ascii="Arial" w:hAnsi="Arial" w:cs="Arial"/>
          <w:lang w:val="fr-FR"/>
        </w:rPr>
        <w:t>des activités de l'organis</w:t>
      </w:r>
      <w:r>
        <w:rPr>
          <w:rFonts w:ascii="Arial" w:hAnsi="Arial" w:cs="Arial"/>
          <w:lang w:val="fr-FR"/>
        </w:rPr>
        <w:t>ation nous suivons certaines règles :</w:t>
      </w:r>
    </w:p>
    <w:p w:rsidR="00F84145" w:rsidRDefault="00F84145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182978" w:rsidRDefault="00182978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les supports sont identifiés</w:t>
      </w:r>
    </w:p>
    <w:p w:rsidR="00182978" w:rsidRDefault="00182978" w:rsidP="00182978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l’inventaire des supports de stockage amovibles est tenu à jour</w:t>
      </w:r>
    </w:p>
    <w:p w:rsidR="00F84145" w:rsidRPr="00F84145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</w:t>
      </w:r>
      <w:r w:rsidRPr="00F84145">
        <w:rPr>
          <w:rFonts w:ascii="Arial" w:hAnsi="Arial" w:cs="Arial"/>
          <w:lang w:val="fr-FR"/>
        </w:rPr>
        <w:t xml:space="preserve"> politique </w:t>
      </w:r>
      <w:r w:rsidRPr="00F84145">
        <w:rPr>
          <w:rFonts w:ascii="Arial" w:hAnsi="Arial" w:cs="Arial"/>
          <w:color w:val="0070C0"/>
          <w:lang w:val="fr-FR"/>
        </w:rPr>
        <w:t xml:space="preserve">Supports de stockage </w:t>
      </w:r>
      <w:r>
        <w:rPr>
          <w:rFonts w:ascii="Arial" w:hAnsi="Arial" w:cs="Arial"/>
          <w:lang w:val="fr-FR"/>
        </w:rPr>
        <w:t xml:space="preserve">est </w:t>
      </w:r>
      <w:proofErr w:type="gramStart"/>
      <w:r w:rsidRPr="00F84145">
        <w:rPr>
          <w:rFonts w:ascii="Arial" w:hAnsi="Arial" w:cs="Arial"/>
          <w:lang w:val="fr-FR"/>
        </w:rPr>
        <w:t>communiqu</w:t>
      </w:r>
      <w:r>
        <w:rPr>
          <w:rFonts w:ascii="Arial" w:hAnsi="Arial" w:cs="Arial"/>
          <w:lang w:val="fr-FR"/>
        </w:rPr>
        <w:t>é</w:t>
      </w:r>
      <w:r w:rsidRPr="00F84145">
        <w:rPr>
          <w:rFonts w:ascii="Arial" w:hAnsi="Arial" w:cs="Arial"/>
          <w:lang w:val="fr-FR"/>
        </w:rPr>
        <w:t>e</w:t>
      </w:r>
      <w:proofErr w:type="gramEnd"/>
      <w:r w:rsidRPr="00F84145">
        <w:rPr>
          <w:rFonts w:ascii="Arial" w:hAnsi="Arial" w:cs="Arial"/>
          <w:lang w:val="fr-FR"/>
        </w:rPr>
        <w:t xml:space="preserve"> à toute personne qui utilise ou manipule des sup</w:t>
      </w:r>
      <w:r>
        <w:rPr>
          <w:rFonts w:ascii="Arial" w:hAnsi="Arial" w:cs="Arial"/>
          <w:lang w:val="fr-FR"/>
        </w:rPr>
        <w:t>ports de stockage amovibles</w:t>
      </w:r>
    </w:p>
    <w:p w:rsidR="00F84145" w:rsidRPr="00F84145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il est nécessaire de retirer un </w:t>
      </w:r>
      <w:r w:rsidRPr="00F84145">
        <w:rPr>
          <w:rFonts w:ascii="Arial" w:hAnsi="Arial" w:cs="Arial"/>
          <w:lang w:val="fr-FR"/>
        </w:rPr>
        <w:t>support de stockage de l'organisation</w:t>
      </w:r>
      <w:r>
        <w:rPr>
          <w:rFonts w:ascii="Arial" w:hAnsi="Arial" w:cs="Arial"/>
          <w:lang w:val="fr-FR"/>
        </w:rPr>
        <w:t xml:space="preserve">, une autorisation est demandée au RSI, qui conserve un enregistrement dans le fichier </w:t>
      </w:r>
      <w:r w:rsidRPr="00F84145">
        <w:rPr>
          <w:rFonts w:ascii="Arial" w:hAnsi="Arial" w:cs="Arial"/>
          <w:color w:val="0070C0"/>
          <w:lang w:val="fr-FR"/>
        </w:rPr>
        <w:t>Sortie des actifs</w:t>
      </w:r>
    </w:p>
    <w:p w:rsidR="00F84145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F84145">
        <w:rPr>
          <w:rFonts w:ascii="Arial" w:hAnsi="Arial" w:cs="Arial"/>
          <w:lang w:val="fr-FR"/>
        </w:rPr>
        <w:t>conformément aux</w:t>
      </w:r>
      <w:r>
        <w:rPr>
          <w:rFonts w:ascii="Arial" w:hAnsi="Arial" w:cs="Arial"/>
          <w:lang w:val="fr-FR"/>
        </w:rPr>
        <w:t xml:space="preserve"> spécifications des fabricants</w:t>
      </w:r>
      <w:r w:rsidRPr="00F84145">
        <w:rPr>
          <w:rFonts w:ascii="Arial" w:hAnsi="Arial" w:cs="Arial"/>
          <w:lang w:val="fr-FR"/>
        </w:rPr>
        <w:t xml:space="preserve"> tous les supports de stockage </w:t>
      </w:r>
      <w:r>
        <w:rPr>
          <w:rFonts w:ascii="Arial" w:hAnsi="Arial" w:cs="Arial"/>
          <w:lang w:val="fr-FR"/>
        </w:rPr>
        <w:t>sont :</w:t>
      </w:r>
    </w:p>
    <w:p w:rsidR="00F84145" w:rsidRDefault="00F84145" w:rsidP="00F84145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stockés </w:t>
      </w:r>
      <w:r w:rsidRPr="00F84145">
        <w:rPr>
          <w:rFonts w:ascii="Arial" w:hAnsi="Arial" w:cs="Arial"/>
          <w:lang w:val="fr-FR"/>
        </w:rPr>
        <w:t xml:space="preserve">dans un environnement sûr et sécurisé </w:t>
      </w:r>
      <w:r>
        <w:rPr>
          <w:rFonts w:ascii="Arial" w:hAnsi="Arial" w:cs="Arial"/>
          <w:lang w:val="fr-FR"/>
        </w:rPr>
        <w:t xml:space="preserve">en tenant compte </w:t>
      </w:r>
      <w:r w:rsidRPr="00F84145">
        <w:rPr>
          <w:rFonts w:ascii="Arial" w:hAnsi="Arial" w:cs="Arial"/>
          <w:lang w:val="fr-FR"/>
        </w:rPr>
        <w:t>de la classification de l</w:t>
      </w:r>
      <w:r>
        <w:rPr>
          <w:rFonts w:ascii="Arial" w:hAnsi="Arial" w:cs="Arial"/>
          <w:lang w:val="fr-FR"/>
        </w:rPr>
        <w:t>’</w:t>
      </w:r>
      <w:r w:rsidRPr="00F84145">
        <w:rPr>
          <w:rFonts w:ascii="Arial" w:hAnsi="Arial" w:cs="Arial"/>
          <w:lang w:val="fr-FR"/>
        </w:rPr>
        <w:t>information</w:t>
      </w:r>
      <w:r w:rsidR="00812954">
        <w:rPr>
          <w:rFonts w:ascii="Arial" w:hAnsi="Arial" w:cs="Arial"/>
          <w:lang w:val="fr-FR"/>
        </w:rPr>
        <w:t xml:space="preserve">, cf. le </w:t>
      </w:r>
      <w:r w:rsidR="00812954" w:rsidRPr="00812954">
        <w:rPr>
          <w:rFonts w:ascii="Arial" w:hAnsi="Arial" w:cs="Arial"/>
          <w:color w:val="0070C0"/>
          <w:lang w:val="fr-FR"/>
        </w:rPr>
        <w:t>Plan de classification</w:t>
      </w:r>
    </w:p>
    <w:p w:rsidR="00F84145" w:rsidRPr="00F84145" w:rsidRDefault="00F84145" w:rsidP="00F84145">
      <w:pPr>
        <w:pStyle w:val="Default"/>
        <w:numPr>
          <w:ilvl w:val="1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protégés</w:t>
      </w:r>
      <w:r w:rsidRPr="00F84145">
        <w:rPr>
          <w:rFonts w:ascii="Arial" w:hAnsi="Arial" w:cs="Arial"/>
          <w:lang w:val="fr-FR"/>
        </w:rPr>
        <w:t xml:space="preserve"> contre les menaces environnementales (chaleur, humidité, champs électroniques ou vieillissement), </w:t>
      </w:r>
    </w:p>
    <w:p w:rsidR="00F84145" w:rsidRPr="00F84145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</w:t>
      </w:r>
      <w:r w:rsidRPr="00F84145">
        <w:rPr>
          <w:rFonts w:ascii="Arial" w:hAnsi="Arial" w:cs="Arial"/>
          <w:lang w:val="fr-FR"/>
        </w:rPr>
        <w:t>la confidentialité ou l'intégrité de</w:t>
      </w:r>
      <w:r>
        <w:rPr>
          <w:rFonts w:ascii="Arial" w:hAnsi="Arial" w:cs="Arial"/>
          <w:lang w:val="fr-FR"/>
        </w:rPr>
        <w:t xml:space="preserve"> l’</w:t>
      </w:r>
      <w:r w:rsidRPr="00F84145">
        <w:rPr>
          <w:rFonts w:ascii="Arial" w:hAnsi="Arial" w:cs="Arial"/>
          <w:lang w:val="fr-FR"/>
        </w:rPr>
        <w:t xml:space="preserve">information sont </w:t>
      </w:r>
      <w:r w:rsidR="00812954">
        <w:rPr>
          <w:rFonts w:ascii="Arial" w:hAnsi="Arial" w:cs="Arial"/>
          <w:lang w:val="fr-FR"/>
        </w:rPr>
        <w:t>sensibles</w:t>
      </w:r>
      <w:r w:rsidRPr="00F84145">
        <w:rPr>
          <w:rFonts w:ascii="Arial" w:hAnsi="Arial" w:cs="Arial"/>
          <w:lang w:val="fr-FR"/>
        </w:rPr>
        <w:t xml:space="preserve">, </w:t>
      </w:r>
      <w:r w:rsidR="00812954">
        <w:rPr>
          <w:rFonts w:ascii="Arial" w:hAnsi="Arial" w:cs="Arial"/>
          <w:lang w:val="fr-FR"/>
        </w:rPr>
        <w:t>il est fortement recommandé d’</w:t>
      </w:r>
      <w:r w:rsidRPr="00F84145">
        <w:rPr>
          <w:rFonts w:ascii="Arial" w:hAnsi="Arial" w:cs="Arial"/>
          <w:lang w:val="fr-FR"/>
        </w:rPr>
        <w:t>utiliser des techniques cryptographiques</w:t>
      </w:r>
    </w:p>
    <w:p w:rsidR="00812954" w:rsidRPr="00812954" w:rsidRDefault="00F84145" w:rsidP="00812954">
      <w:pPr>
        <w:pStyle w:val="Paragraphedeliste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812954">
        <w:rPr>
          <w:rFonts w:ascii="Arial" w:hAnsi="Arial" w:cs="Arial"/>
          <w:sz w:val="24"/>
          <w:szCs w:val="24"/>
        </w:rPr>
        <w:t>les informations stockées encore nécessaires</w:t>
      </w:r>
      <w:r w:rsidR="00812954" w:rsidRPr="00812954">
        <w:rPr>
          <w:rFonts w:ascii="Arial" w:hAnsi="Arial" w:cs="Arial"/>
          <w:sz w:val="24"/>
          <w:szCs w:val="24"/>
        </w:rPr>
        <w:t xml:space="preserve"> sont </w:t>
      </w:r>
      <w:r w:rsidRPr="00812954">
        <w:rPr>
          <w:rFonts w:ascii="Arial" w:hAnsi="Arial" w:cs="Arial"/>
          <w:sz w:val="24"/>
          <w:szCs w:val="24"/>
        </w:rPr>
        <w:t>transfér</w:t>
      </w:r>
      <w:r w:rsidR="00812954" w:rsidRPr="00812954">
        <w:rPr>
          <w:rFonts w:ascii="Arial" w:hAnsi="Arial" w:cs="Arial"/>
          <w:sz w:val="24"/>
          <w:szCs w:val="24"/>
        </w:rPr>
        <w:t xml:space="preserve">ées </w:t>
      </w:r>
      <w:r w:rsidRPr="00812954">
        <w:rPr>
          <w:rFonts w:ascii="Arial" w:hAnsi="Arial" w:cs="Arial"/>
          <w:sz w:val="24"/>
          <w:szCs w:val="24"/>
        </w:rPr>
        <w:t>sur de nouveaux supports de stockage avant qu'</w:t>
      </w:r>
      <w:r w:rsidR="00812954" w:rsidRPr="00812954">
        <w:rPr>
          <w:rFonts w:ascii="Arial" w:hAnsi="Arial" w:cs="Arial"/>
          <w:sz w:val="24"/>
          <w:szCs w:val="24"/>
        </w:rPr>
        <w:t xml:space="preserve">elles ne se dégradent selon la politique </w:t>
      </w:r>
      <w:r w:rsidR="00812954" w:rsidRPr="00812954">
        <w:rPr>
          <w:rFonts w:ascii="Arial" w:hAnsi="Arial" w:cs="Arial"/>
          <w:color w:val="0070C0"/>
          <w:sz w:val="24"/>
          <w:szCs w:val="24"/>
        </w:rPr>
        <w:t>Transfert de l’information</w:t>
      </w:r>
    </w:p>
    <w:p w:rsidR="00F84145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F84145">
        <w:rPr>
          <w:rFonts w:ascii="Arial" w:hAnsi="Arial" w:cs="Arial"/>
          <w:lang w:val="fr-FR"/>
        </w:rPr>
        <w:t xml:space="preserve">stocker plusieurs copies d'informations </w:t>
      </w:r>
      <w:r w:rsidR="00812954">
        <w:rPr>
          <w:rFonts w:ascii="Arial" w:hAnsi="Arial" w:cs="Arial"/>
          <w:lang w:val="fr-FR"/>
        </w:rPr>
        <w:t xml:space="preserve">sensibles </w:t>
      </w:r>
      <w:r w:rsidRPr="00F84145">
        <w:rPr>
          <w:rFonts w:ascii="Arial" w:hAnsi="Arial" w:cs="Arial"/>
          <w:lang w:val="fr-FR"/>
        </w:rPr>
        <w:t>sur d</w:t>
      </w:r>
      <w:r w:rsidR="00812954">
        <w:rPr>
          <w:rFonts w:ascii="Arial" w:hAnsi="Arial" w:cs="Arial"/>
          <w:lang w:val="fr-FR"/>
        </w:rPr>
        <w:t>es supports de stockage séparés</w:t>
      </w:r>
    </w:p>
    <w:p w:rsidR="00F84145" w:rsidRPr="00F84145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F84145">
        <w:rPr>
          <w:rFonts w:ascii="Arial" w:hAnsi="Arial" w:cs="Arial"/>
          <w:lang w:val="fr-FR"/>
        </w:rPr>
        <w:t>envisager l'enregistrement des supports de stockage amovibles pour limiter les risques de perte d'i</w:t>
      </w:r>
      <w:r w:rsidR="00812954">
        <w:rPr>
          <w:rFonts w:ascii="Arial" w:hAnsi="Arial" w:cs="Arial"/>
          <w:lang w:val="fr-FR"/>
        </w:rPr>
        <w:t>nformations</w:t>
      </w:r>
    </w:p>
    <w:p w:rsidR="00812954" w:rsidRPr="00182978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auto"/>
          <w:lang w:val="fr-FR"/>
        </w:rPr>
      </w:pPr>
      <w:r w:rsidRPr="00182978">
        <w:rPr>
          <w:rFonts w:ascii="Arial" w:hAnsi="Arial" w:cs="Arial"/>
          <w:color w:val="auto"/>
          <w:lang w:val="fr-FR"/>
        </w:rPr>
        <w:t>activer uniquement les ports de supports de stockage amovibles</w:t>
      </w:r>
      <w:r w:rsidR="00812954" w:rsidRPr="00182978">
        <w:rPr>
          <w:rFonts w:ascii="Arial" w:hAnsi="Arial" w:cs="Arial"/>
          <w:color w:val="auto"/>
          <w:lang w:val="fr-FR"/>
        </w:rPr>
        <w:t xml:space="preserve"> utilisés</w:t>
      </w:r>
    </w:p>
    <w:p w:rsidR="00F84145" w:rsidRPr="00812954" w:rsidRDefault="00F84145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color w:val="0070C0"/>
          <w:lang w:val="fr-FR"/>
        </w:rPr>
      </w:pPr>
      <w:r w:rsidRPr="00182978">
        <w:rPr>
          <w:rFonts w:ascii="Arial" w:hAnsi="Arial" w:cs="Arial"/>
          <w:color w:val="auto"/>
          <w:lang w:val="fr-FR"/>
        </w:rPr>
        <w:t xml:space="preserve">lorsqu'il est nécessaire d'utiliser des supports de stockage amovibles, surveiller le transfert </w:t>
      </w:r>
      <w:r w:rsidRPr="00F84145">
        <w:rPr>
          <w:rFonts w:ascii="Arial" w:hAnsi="Arial" w:cs="Arial"/>
          <w:lang w:val="fr-FR"/>
        </w:rPr>
        <w:t>d'information</w:t>
      </w:r>
      <w:r w:rsidR="00812954">
        <w:rPr>
          <w:rFonts w:ascii="Arial" w:hAnsi="Arial" w:cs="Arial"/>
          <w:lang w:val="fr-FR"/>
        </w:rPr>
        <w:t xml:space="preserve"> vers ces supports de stockage, cf. le document </w:t>
      </w:r>
      <w:r w:rsidR="00812954" w:rsidRPr="00812954">
        <w:rPr>
          <w:rFonts w:ascii="Arial" w:hAnsi="Arial" w:cs="Arial"/>
          <w:color w:val="0070C0"/>
          <w:lang w:val="fr-FR"/>
        </w:rPr>
        <w:t>Données de transfert</w:t>
      </w:r>
    </w:p>
    <w:p w:rsidR="00F84145" w:rsidRPr="00F84145" w:rsidRDefault="00812954" w:rsidP="00F84145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protéger l’i</w:t>
      </w:r>
      <w:r w:rsidR="00F84145" w:rsidRPr="00F84145">
        <w:rPr>
          <w:rFonts w:ascii="Arial" w:hAnsi="Arial" w:cs="Arial"/>
          <w:lang w:val="fr-FR"/>
        </w:rPr>
        <w:t xml:space="preserve">nformation </w:t>
      </w:r>
      <w:r>
        <w:rPr>
          <w:rFonts w:ascii="Arial" w:hAnsi="Arial" w:cs="Arial"/>
          <w:lang w:val="fr-FR"/>
        </w:rPr>
        <w:t xml:space="preserve">qui </w:t>
      </w:r>
      <w:r w:rsidR="00F84145" w:rsidRPr="00F84145">
        <w:rPr>
          <w:rFonts w:ascii="Arial" w:hAnsi="Arial" w:cs="Arial"/>
          <w:lang w:val="fr-FR"/>
        </w:rPr>
        <w:t>peut être vulnérable</w:t>
      </w:r>
      <w:r>
        <w:rPr>
          <w:rFonts w:ascii="Arial" w:hAnsi="Arial" w:cs="Arial"/>
          <w:lang w:val="fr-FR"/>
        </w:rPr>
        <w:t xml:space="preserve"> (</w:t>
      </w:r>
      <w:r w:rsidR="00F84145" w:rsidRPr="00F84145">
        <w:rPr>
          <w:rFonts w:ascii="Arial" w:hAnsi="Arial" w:cs="Arial"/>
          <w:lang w:val="fr-FR"/>
        </w:rPr>
        <w:t>accès non autorisé</w:t>
      </w:r>
      <w:r>
        <w:rPr>
          <w:rFonts w:ascii="Arial" w:hAnsi="Arial" w:cs="Arial"/>
          <w:lang w:val="fr-FR"/>
        </w:rPr>
        <w:t xml:space="preserve">, </w:t>
      </w:r>
      <w:r w:rsidR="00F84145" w:rsidRPr="00F84145">
        <w:rPr>
          <w:rFonts w:ascii="Arial" w:hAnsi="Arial" w:cs="Arial"/>
          <w:lang w:val="fr-FR"/>
        </w:rPr>
        <w:t xml:space="preserve">utilisation abusive ou </w:t>
      </w:r>
      <w:r w:rsidRPr="00F84145">
        <w:rPr>
          <w:rFonts w:ascii="Arial" w:hAnsi="Arial" w:cs="Arial"/>
          <w:lang w:val="fr-FR"/>
        </w:rPr>
        <w:t>détérioration</w:t>
      </w:r>
      <w:r>
        <w:rPr>
          <w:rFonts w:ascii="Arial" w:hAnsi="Arial" w:cs="Arial"/>
          <w:lang w:val="fr-FR"/>
        </w:rPr>
        <w:t>)</w:t>
      </w:r>
      <w:r w:rsidR="00F84145" w:rsidRPr="00F84145">
        <w:rPr>
          <w:rFonts w:ascii="Arial" w:hAnsi="Arial" w:cs="Arial"/>
          <w:lang w:val="fr-FR"/>
        </w:rPr>
        <w:t xml:space="preserve"> pendant le transport physique</w:t>
      </w:r>
      <w:r>
        <w:rPr>
          <w:rFonts w:ascii="Arial" w:hAnsi="Arial" w:cs="Arial"/>
          <w:lang w:val="fr-FR"/>
        </w:rPr>
        <w:t xml:space="preserve"> (</w:t>
      </w:r>
      <w:r w:rsidR="00F84145" w:rsidRPr="00F84145">
        <w:rPr>
          <w:rFonts w:ascii="Arial" w:hAnsi="Arial" w:cs="Arial"/>
          <w:lang w:val="fr-FR"/>
        </w:rPr>
        <w:t xml:space="preserve">envoi </w:t>
      </w:r>
      <w:r>
        <w:rPr>
          <w:rFonts w:ascii="Arial" w:hAnsi="Arial" w:cs="Arial"/>
          <w:lang w:val="fr-FR"/>
        </w:rPr>
        <w:t>par la poste ou service de transport express)</w:t>
      </w:r>
    </w:p>
    <w:p w:rsidR="00182978" w:rsidRPr="00D54860" w:rsidRDefault="00182978" w:rsidP="00182978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supports sont préparés avant leur mise au rebut</w:t>
      </w:r>
    </w:p>
    <w:p w:rsidR="00F84145" w:rsidRDefault="00F84145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F84145" w:rsidRDefault="00812954" w:rsidP="00F84145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documents papier</w:t>
      </w:r>
      <w:r w:rsidRPr="00F84145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font partie de cette mesure.</w:t>
      </w:r>
    </w:p>
    <w:p w:rsidR="00182978" w:rsidRDefault="00182978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182978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supports amovibles répertoriés dans </w:t>
      </w:r>
      <w:r w:rsidRPr="00515444">
        <w:rPr>
          <w:rFonts w:ascii="Arial" w:hAnsi="Arial" w:cs="Arial"/>
          <w:color w:val="000000" w:themeColor="text1"/>
          <w:lang w:val="fr-FR"/>
        </w:rPr>
        <w:t>l’</w:t>
      </w:r>
      <w:r w:rsidRPr="00515444">
        <w:rPr>
          <w:rFonts w:ascii="Arial" w:hAnsi="Arial" w:cs="Arial"/>
          <w:color w:val="0070C0"/>
          <w:lang w:val="fr-FR"/>
        </w:rPr>
        <w:t>Inventaire des actifs</w:t>
      </w:r>
      <w:r>
        <w:rPr>
          <w:rFonts w:ascii="Arial" w:hAnsi="Arial" w:cs="Arial"/>
          <w:lang w:val="fr-FR"/>
        </w:rPr>
        <w:t xml:space="preserve"> sont des :</w:t>
      </w:r>
    </w:p>
    <w:p w:rsidR="00182978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</w:p>
    <w:p w:rsidR="00182978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disques durs</w:t>
      </w:r>
    </w:p>
    <w:p w:rsidR="00182978" w:rsidRPr="00D54860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</w:t>
      </w:r>
      <w:r w:rsidRPr="00D54860">
        <w:rPr>
          <w:rFonts w:ascii="Arial" w:hAnsi="Arial" w:cs="Arial"/>
          <w:lang w:val="fr-FR"/>
        </w:rPr>
        <w:t>assettes de sauvegarde</w:t>
      </w:r>
    </w:p>
    <w:p w:rsidR="00182978" w:rsidRPr="00D54860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D54860">
        <w:rPr>
          <w:rFonts w:ascii="Arial" w:hAnsi="Arial" w:cs="Arial"/>
          <w:lang w:val="fr-FR"/>
        </w:rPr>
        <w:t>DVD</w:t>
      </w:r>
    </w:p>
    <w:p w:rsidR="00182978" w:rsidRPr="00D54860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b</w:t>
      </w:r>
      <w:r w:rsidRPr="00D54860">
        <w:rPr>
          <w:rFonts w:ascii="Arial" w:hAnsi="Arial" w:cs="Arial"/>
          <w:lang w:val="fr-FR"/>
        </w:rPr>
        <w:t>andes magnétiques</w:t>
      </w:r>
    </w:p>
    <w:p w:rsidR="00182978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</w:t>
      </w:r>
      <w:r w:rsidRPr="00D54860">
        <w:rPr>
          <w:rFonts w:ascii="Arial" w:hAnsi="Arial" w:cs="Arial"/>
          <w:lang w:val="fr-FR"/>
        </w:rPr>
        <w:t>lés USB</w:t>
      </w:r>
    </w:p>
    <w:p w:rsidR="00182978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515444">
        <w:rPr>
          <w:rFonts w:ascii="Arial" w:hAnsi="Arial" w:cs="Arial"/>
          <w:lang w:val="fr-FR"/>
        </w:rPr>
        <w:t>cassettes audio</w:t>
      </w:r>
    </w:p>
    <w:p w:rsidR="00182978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 w:rsidRPr="00515444">
        <w:rPr>
          <w:rFonts w:ascii="Arial" w:hAnsi="Arial" w:cs="Arial"/>
          <w:lang w:val="fr-FR"/>
        </w:rPr>
        <w:t>disquettes</w:t>
      </w:r>
    </w:p>
    <w:p w:rsidR="00182978" w:rsidRDefault="00182978" w:rsidP="00182978">
      <w:pPr>
        <w:pStyle w:val="Default"/>
        <w:numPr>
          <w:ilvl w:val="0"/>
          <w:numId w:val="2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CD-ROM</w:t>
      </w:r>
    </w:p>
    <w:p w:rsidR="00182978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</w:p>
    <w:p w:rsidR="00182978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  <w:r w:rsidRPr="00D54860">
        <w:rPr>
          <w:rFonts w:ascii="Arial" w:hAnsi="Arial" w:cs="Arial"/>
          <w:lang w:val="fr-FR"/>
        </w:rPr>
        <w:t xml:space="preserve">Chaque support </w:t>
      </w:r>
      <w:r>
        <w:rPr>
          <w:rFonts w:ascii="Arial" w:hAnsi="Arial" w:cs="Arial"/>
          <w:lang w:val="fr-FR"/>
        </w:rPr>
        <w:t xml:space="preserve">amovible est </w:t>
      </w:r>
      <w:r w:rsidRPr="00D54860">
        <w:rPr>
          <w:rFonts w:ascii="Arial" w:hAnsi="Arial" w:cs="Arial"/>
          <w:lang w:val="fr-FR"/>
        </w:rPr>
        <w:t>identifié de manière unique</w:t>
      </w:r>
      <w:r>
        <w:rPr>
          <w:rFonts w:ascii="Arial" w:hAnsi="Arial" w:cs="Arial"/>
          <w:lang w:val="fr-FR"/>
        </w:rPr>
        <w:t xml:space="preserve"> avec un code et une étiquette autocollante. L’étiquette respecte le </w:t>
      </w:r>
      <w:r w:rsidRPr="000D60C0">
        <w:rPr>
          <w:rFonts w:ascii="Arial" w:hAnsi="Arial" w:cs="Arial"/>
          <w:color w:val="0070C0"/>
          <w:lang w:val="fr-FR"/>
        </w:rPr>
        <w:t>Plan de classification</w:t>
      </w:r>
      <w:r>
        <w:rPr>
          <w:rFonts w:ascii="Arial" w:hAnsi="Arial" w:cs="Arial"/>
          <w:lang w:val="fr-FR"/>
        </w:rPr>
        <w:t>.</w:t>
      </w:r>
    </w:p>
    <w:p w:rsidR="00182978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</w:p>
    <w:p w:rsidR="00182978" w:rsidRPr="00D54860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les </w:t>
      </w:r>
      <w:r w:rsidRPr="00D54860">
        <w:rPr>
          <w:rFonts w:ascii="Arial" w:hAnsi="Arial" w:cs="Arial"/>
          <w:lang w:val="fr-FR"/>
        </w:rPr>
        <w:t xml:space="preserve">supports </w:t>
      </w:r>
      <w:r>
        <w:rPr>
          <w:rFonts w:ascii="Arial" w:hAnsi="Arial" w:cs="Arial"/>
          <w:lang w:val="fr-FR"/>
        </w:rPr>
        <w:t xml:space="preserve">amovibles ne sont pas utilisés, nous les conservons </w:t>
      </w:r>
      <w:r w:rsidRPr="00D54860">
        <w:rPr>
          <w:rFonts w:ascii="Arial" w:hAnsi="Arial" w:cs="Arial"/>
          <w:lang w:val="fr-FR"/>
        </w:rPr>
        <w:t>dans des coffres et armoires étanches et blindés.</w:t>
      </w:r>
    </w:p>
    <w:p w:rsidR="00182978" w:rsidRDefault="00182978" w:rsidP="00182978">
      <w:pPr>
        <w:pStyle w:val="Default"/>
        <w:jc w:val="both"/>
        <w:rPr>
          <w:rFonts w:ascii="Arial" w:hAnsi="Arial" w:cs="Arial"/>
          <w:lang w:val="fr-FR"/>
        </w:rPr>
      </w:pPr>
    </w:p>
    <w:p w:rsidR="00182978" w:rsidRPr="00F84145" w:rsidRDefault="00182978" w:rsidP="00F84145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Nous utilisons de</w:t>
      </w:r>
      <w:r w:rsidRPr="00D54860">
        <w:rPr>
          <w:rFonts w:ascii="Arial" w:hAnsi="Arial" w:cs="Arial"/>
          <w:lang w:val="fr-FR"/>
        </w:rPr>
        <w:t xml:space="preserve">s techniques cryptographiques pour protéger les données </w:t>
      </w:r>
      <w:r>
        <w:rPr>
          <w:rFonts w:ascii="Arial" w:hAnsi="Arial" w:cs="Arial"/>
          <w:lang w:val="fr-FR"/>
        </w:rPr>
        <w:t>d</w:t>
      </w:r>
      <w:r w:rsidRPr="00D54860">
        <w:rPr>
          <w:rFonts w:ascii="Arial" w:hAnsi="Arial" w:cs="Arial"/>
          <w:lang w:val="fr-FR"/>
        </w:rPr>
        <w:t>es supports amovibles lorsque le niveau de confidentialité ou d'int</w:t>
      </w:r>
      <w:r>
        <w:rPr>
          <w:rFonts w:ascii="Arial" w:hAnsi="Arial" w:cs="Arial"/>
          <w:lang w:val="fr-FR"/>
        </w:rPr>
        <w:t xml:space="preserve">égrité de ces données est élevé en respectant le </w:t>
      </w:r>
      <w:r w:rsidRPr="00182978">
        <w:rPr>
          <w:rFonts w:ascii="Arial" w:hAnsi="Arial" w:cs="Arial"/>
          <w:color w:val="0070C0"/>
          <w:lang w:val="fr-FR"/>
        </w:rPr>
        <w:t xml:space="preserve">Plan de classification </w:t>
      </w:r>
      <w:r>
        <w:rPr>
          <w:rFonts w:ascii="Arial" w:hAnsi="Arial" w:cs="Arial"/>
          <w:lang w:val="fr-FR"/>
        </w:rPr>
        <w:t xml:space="preserve">et la politique des </w:t>
      </w:r>
      <w:r>
        <w:rPr>
          <w:rFonts w:ascii="Arial" w:hAnsi="Arial" w:cs="Arial"/>
          <w:color w:val="0070C0"/>
          <w:lang w:val="fr-FR"/>
        </w:rPr>
        <w:t xml:space="preserve">Utilisation de la </w:t>
      </w:r>
      <w:r w:rsidRPr="00165906">
        <w:rPr>
          <w:rFonts w:ascii="Arial" w:hAnsi="Arial" w:cs="Arial"/>
          <w:color w:val="0070C0"/>
          <w:lang w:val="fr-FR"/>
        </w:rPr>
        <w:t>cryptographie</w:t>
      </w:r>
      <w:r>
        <w:rPr>
          <w:rFonts w:ascii="Arial" w:hAnsi="Arial" w:cs="Arial"/>
          <w:lang w:val="fr-FR"/>
        </w:rPr>
        <w:t>.</w:t>
      </w:r>
      <w:r w:rsidRPr="00D54860">
        <w:rPr>
          <w:rFonts w:ascii="Arial" w:hAnsi="Arial" w:cs="Arial"/>
          <w:lang w:val="fr-FR"/>
        </w:rPr>
        <w:t xml:space="preserve"> </w:t>
      </w:r>
    </w:p>
    <w:p w:rsidR="00F84145" w:rsidRDefault="00F84145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F84145" w:rsidRPr="00F84145" w:rsidRDefault="00F84145" w:rsidP="00F84145">
      <w:pPr>
        <w:pStyle w:val="Default"/>
        <w:jc w:val="both"/>
        <w:rPr>
          <w:rFonts w:ascii="Arial" w:hAnsi="Arial" w:cs="Arial"/>
          <w:b/>
          <w:lang w:val="fr-FR"/>
        </w:rPr>
      </w:pPr>
      <w:r w:rsidRPr="00F84145">
        <w:rPr>
          <w:rFonts w:ascii="Arial" w:hAnsi="Arial" w:cs="Arial"/>
          <w:b/>
          <w:lang w:val="fr-FR"/>
        </w:rPr>
        <w:t>5.2 Réutilisation ou élimination</w:t>
      </w:r>
    </w:p>
    <w:p w:rsidR="00F84145" w:rsidRPr="00F84145" w:rsidRDefault="00F84145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2C5701" w:rsidRDefault="002C5701" w:rsidP="00F84145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activités </w:t>
      </w:r>
      <w:r w:rsidR="00F84145" w:rsidRPr="00F84145">
        <w:rPr>
          <w:rFonts w:ascii="Arial" w:hAnsi="Arial" w:cs="Arial"/>
          <w:lang w:val="fr-FR"/>
        </w:rPr>
        <w:t xml:space="preserve">de réutilisation ou d'élimination sécurisées des supports de stockage </w:t>
      </w:r>
      <w:r>
        <w:rPr>
          <w:rFonts w:ascii="Arial" w:hAnsi="Arial" w:cs="Arial"/>
          <w:lang w:val="fr-FR"/>
        </w:rPr>
        <w:t xml:space="preserve">sont enregistrées dans </w:t>
      </w:r>
      <w:r w:rsidRPr="002C5701">
        <w:rPr>
          <w:rFonts w:ascii="Arial" w:hAnsi="Arial" w:cs="Arial"/>
          <w:color w:val="auto"/>
          <w:lang w:val="fr-FR"/>
        </w:rPr>
        <w:t>l’</w:t>
      </w:r>
      <w:r w:rsidRPr="002C5701">
        <w:rPr>
          <w:rFonts w:ascii="Arial" w:hAnsi="Arial" w:cs="Arial"/>
          <w:color w:val="0070C0"/>
          <w:lang w:val="fr-FR"/>
        </w:rPr>
        <w:t>Inventaire des rebuts</w:t>
      </w:r>
      <w:r>
        <w:rPr>
          <w:rFonts w:ascii="Arial" w:hAnsi="Arial" w:cs="Arial"/>
          <w:lang w:val="fr-FR"/>
        </w:rPr>
        <w:t>.</w:t>
      </w:r>
    </w:p>
    <w:p w:rsidR="002C5701" w:rsidRDefault="002C5701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F84145" w:rsidRDefault="00F84145" w:rsidP="00F84145">
      <w:pPr>
        <w:pStyle w:val="Default"/>
        <w:jc w:val="both"/>
        <w:rPr>
          <w:rFonts w:ascii="Arial" w:hAnsi="Arial" w:cs="Arial"/>
          <w:lang w:val="fr-FR"/>
        </w:rPr>
      </w:pPr>
      <w:r w:rsidRPr="00F84145">
        <w:rPr>
          <w:rFonts w:ascii="Arial" w:hAnsi="Arial" w:cs="Arial"/>
          <w:lang w:val="fr-FR"/>
        </w:rPr>
        <w:t>L</w:t>
      </w:r>
      <w:r w:rsidR="002C5701">
        <w:rPr>
          <w:rFonts w:ascii="Arial" w:hAnsi="Arial" w:cs="Arial"/>
          <w:lang w:val="fr-FR"/>
        </w:rPr>
        <w:t>a</w:t>
      </w:r>
      <w:r w:rsidRPr="00F84145">
        <w:rPr>
          <w:rFonts w:ascii="Arial" w:hAnsi="Arial" w:cs="Arial"/>
          <w:lang w:val="fr-FR"/>
        </w:rPr>
        <w:t xml:space="preserve"> réutilisation ou </w:t>
      </w:r>
      <w:r w:rsidR="002C5701">
        <w:rPr>
          <w:rFonts w:ascii="Arial" w:hAnsi="Arial" w:cs="Arial"/>
          <w:lang w:val="fr-FR"/>
        </w:rPr>
        <w:t>l</w:t>
      </w:r>
      <w:r w:rsidRPr="00F84145">
        <w:rPr>
          <w:rFonts w:ascii="Arial" w:hAnsi="Arial" w:cs="Arial"/>
          <w:lang w:val="fr-FR"/>
        </w:rPr>
        <w:t xml:space="preserve">'élimination sécurisée des supports de stockage contenant des informations confidentielles </w:t>
      </w:r>
      <w:r w:rsidR="002C5701">
        <w:rPr>
          <w:rFonts w:ascii="Arial" w:hAnsi="Arial" w:cs="Arial"/>
          <w:lang w:val="fr-FR"/>
        </w:rPr>
        <w:t xml:space="preserve">est réalisée selon </w:t>
      </w:r>
      <w:r w:rsidRPr="00F84145">
        <w:rPr>
          <w:rFonts w:ascii="Arial" w:hAnsi="Arial" w:cs="Arial"/>
          <w:lang w:val="fr-FR"/>
        </w:rPr>
        <w:t xml:space="preserve">la sensibilité de ces informations. Les éléments suivants </w:t>
      </w:r>
      <w:r w:rsidR="002C5701">
        <w:rPr>
          <w:rFonts w:ascii="Arial" w:hAnsi="Arial" w:cs="Arial"/>
          <w:lang w:val="fr-FR"/>
        </w:rPr>
        <w:t xml:space="preserve">sont </w:t>
      </w:r>
      <w:r w:rsidRPr="00F84145">
        <w:rPr>
          <w:rFonts w:ascii="Arial" w:hAnsi="Arial" w:cs="Arial"/>
          <w:lang w:val="fr-FR"/>
        </w:rPr>
        <w:t>pris en compte :</w:t>
      </w:r>
    </w:p>
    <w:p w:rsidR="002C5701" w:rsidRPr="00F84145" w:rsidRDefault="002C5701" w:rsidP="00F84145">
      <w:pPr>
        <w:pStyle w:val="Default"/>
        <w:jc w:val="both"/>
        <w:rPr>
          <w:rFonts w:ascii="Arial" w:hAnsi="Arial" w:cs="Arial"/>
          <w:lang w:val="fr-FR"/>
        </w:rPr>
      </w:pPr>
    </w:p>
    <w:p w:rsidR="002C5701" w:rsidRDefault="002C5701" w:rsidP="002C5701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un </w:t>
      </w:r>
      <w:r w:rsidR="00F84145" w:rsidRPr="00F84145">
        <w:rPr>
          <w:rFonts w:ascii="Arial" w:hAnsi="Arial" w:cs="Arial"/>
          <w:lang w:val="fr-FR"/>
        </w:rPr>
        <w:t xml:space="preserve">support de stockage contenant des informations confidentielles </w:t>
      </w:r>
      <w:r>
        <w:rPr>
          <w:rFonts w:ascii="Arial" w:hAnsi="Arial" w:cs="Arial"/>
          <w:lang w:val="fr-FR"/>
        </w:rPr>
        <w:t xml:space="preserve">est </w:t>
      </w:r>
      <w:r w:rsidR="00F84145" w:rsidRPr="00F84145">
        <w:rPr>
          <w:rFonts w:ascii="Arial" w:hAnsi="Arial" w:cs="Arial"/>
          <w:lang w:val="fr-FR"/>
        </w:rPr>
        <w:t xml:space="preserve">réutilisé, </w:t>
      </w:r>
      <w:r>
        <w:rPr>
          <w:rFonts w:ascii="Arial" w:hAnsi="Arial" w:cs="Arial"/>
          <w:lang w:val="fr-FR"/>
        </w:rPr>
        <w:t xml:space="preserve">le support est formaté ou les informations sont supprimées </w:t>
      </w:r>
      <w:r w:rsidR="00F84145" w:rsidRPr="00F84145">
        <w:rPr>
          <w:rFonts w:ascii="Arial" w:hAnsi="Arial" w:cs="Arial"/>
          <w:lang w:val="fr-FR"/>
        </w:rPr>
        <w:t xml:space="preserve">en toute sécurité </w:t>
      </w:r>
      <w:r>
        <w:rPr>
          <w:rFonts w:ascii="Arial" w:hAnsi="Arial" w:cs="Arial"/>
          <w:lang w:val="fr-FR"/>
        </w:rPr>
        <w:t xml:space="preserve">et un enregistrement es fait sur </w:t>
      </w:r>
      <w:r w:rsidRPr="002C5701">
        <w:rPr>
          <w:rFonts w:ascii="Arial" w:hAnsi="Arial" w:cs="Arial"/>
          <w:color w:val="0070C0"/>
          <w:lang w:val="fr-FR"/>
        </w:rPr>
        <w:t>Suppression de l’information</w:t>
      </w:r>
    </w:p>
    <w:p w:rsidR="002C5701" w:rsidRDefault="002C5701" w:rsidP="002C5701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</w:t>
      </w:r>
      <w:r w:rsidRPr="00F84145">
        <w:rPr>
          <w:rFonts w:ascii="Arial" w:hAnsi="Arial" w:cs="Arial"/>
          <w:lang w:val="fr-FR"/>
        </w:rPr>
        <w:t xml:space="preserve">le support de stockage contenant des informations confidentielles ne sont plus nécessaires </w:t>
      </w:r>
      <w:r>
        <w:rPr>
          <w:rFonts w:ascii="Arial" w:hAnsi="Arial" w:cs="Arial"/>
          <w:lang w:val="fr-FR"/>
        </w:rPr>
        <w:t>le support est détruit</w:t>
      </w:r>
    </w:p>
    <w:p w:rsidR="00F84145" w:rsidRPr="00F84145" w:rsidRDefault="00F84145" w:rsidP="002C5701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F84145">
        <w:rPr>
          <w:rFonts w:ascii="Arial" w:hAnsi="Arial" w:cs="Arial"/>
          <w:lang w:val="fr-FR"/>
        </w:rPr>
        <w:t>les éléments qui peuvent nécessiter une élimination sécurisée </w:t>
      </w:r>
      <w:r w:rsidR="002C5701">
        <w:rPr>
          <w:rFonts w:ascii="Arial" w:hAnsi="Arial" w:cs="Arial"/>
          <w:lang w:val="fr-FR"/>
        </w:rPr>
        <w:t>sont identifiés</w:t>
      </w:r>
    </w:p>
    <w:p w:rsidR="00F84145" w:rsidRPr="00F84145" w:rsidRDefault="002C5701" w:rsidP="002C5701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</w:t>
      </w:r>
      <w:r w:rsidR="00F84145" w:rsidRPr="00F84145">
        <w:rPr>
          <w:rFonts w:ascii="Arial" w:hAnsi="Arial" w:cs="Arial"/>
          <w:lang w:val="fr-FR"/>
        </w:rPr>
        <w:t xml:space="preserve">es précautions </w:t>
      </w:r>
      <w:r>
        <w:rPr>
          <w:rFonts w:ascii="Arial" w:hAnsi="Arial" w:cs="Arial"/>
          <w:lang w:val="fr-FR"/>
        </w:rPr>
        <w:t xml:space="preserve">sont </w:t>
      </w:r>
      <w:r w:rsidR="00F84145" w:rsidRPr="00F84145">
        <w:rPr>
          <w:rFonts w:ascii="Arial" w:hAnsi="Arial" w:cs="Arial"/>
          <w:lang w:val="fr-FR"/>
        </w:rPr>
        <w:t xml:space="preserve">prises lors de la sélection d'un fournisseur externe approprié </w:t>
      </w:r>
      <w:r w:rsidRPr="00F84145">
        <w:rPr>
          <w:rFonts w:ascii="Arial" w:hAnsi="Arial" w:cs="Arial"/>
          <w:lang w:val="fr-FR"/>
        </w:rPr>
        <w:t>de services de collecte et d'élimination des support</w:t>
      </w:r>
      <w:bookmarkStart w:id="0" w:name="_GoBack"/>
      <w:bookmarkEnd w:id="0"/>
      <w:r w:rsidRPr="00F84145">
        <w:rPr>
          <w:rFonts w:ascii="Arial" w:hAnsi="Arial" w:cs="Arial"/>
          <w:lang w:val="fr-FR"/>
        </w:rPr>
        <w:t>s de stockage</w:t>
      </w:r>
      <w:r>
        <w:rPr>
          <w:rFonts w:ascii="Arial" w:hAnsi="Arial" w:cs="Arial"/>
          <w:lang w:val="fr-FR"/>
        </w:rPr>
        <w:t xml:space="preserve"> selon la politique </w:t>
      </w:r>
      <w:r w:rsidRPr="002C5701">
        <w:rPr>
          <w:rFonts w:ascii="Arial" w:hAnsi="Arial" w:cs="Arial"/>
          <w:color w:val="0070C0"/>
          <w:lang w:val="fr-FR"/>
        </w:rPr>
        <w:t>Relations avec les fournisseurs</w:t>
      </w:r>
    </w:p>
    <w:p w:rsidR="00F84145" w:rsidRPr="00F84145" w:rsidRDefault="00F84145" w:rsidP="002C5701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F84145">
        <w:rPr>
          <w:rFonts w:ascii="Arial" w:hAnsi="Arial" w:cs="Arial"/>
          <w:lang w:val="fr-FR"/>
        </w:rPr>
        <w:t xml:space="preserve">l'élimination des éléments sensibles </w:t>
      </w:r>
      <w:r w:rsidR="002C5701">
        <w:rPr>
          <w:rFonts w:ascii="Arial" w:hAnsi="Arial" w:cs="Arial"/>
          <w:lang w:val="fr-FR"/>
        </w:rPr>
        <w:t xml:space="preserve">est </w:t>
      </w:r>
      <w:r w:rsidR="002C5701" w:rsidRPr="00F84145">
        <w:rPr>
          <w:rFonts w:ascii="Arial" w:hAnsi="Arial" w:cs="Arial"/>
          <w:lang w:val="fr-FR"/>
        </w:rPr>
        <w:t>consign</w:t>
      </w:r>
      <w:r w:rsidR="002C5701">
        <w:rPr>
          <w:rFonts w:ascii="Arial" w:hAnsi="Arial" w:cs="Arial"/>
          <w:lang w:val="fr-FR"/>
        </w:rPr>
        <w:t>ée (</w:t>
      </w:r>
      <w:r w:rsidRPr="00F84145">
        <w:rPr>
          <w:rFonts w:ascii="Arial" w:hAnsi="Arial" w:cs="Arial"/>
          <w:lang w:val="fr-FR"/>
        </w:rPr>
        <w:t xml:space="preserve">piste </w:t>
      </w:r>
      <w:r w:rsidR="002C5701">
        <w:rPr>
          <w:rFonts w:ascii="Arial" w:hAnsi="Arial" w:cs="Arial"/>
          <w:lang w:val="fr-FR"/>
        </w:rPr>
        <w:t xml:space="preserve">pour un </w:t>
      </w:r>
      <w:r w:rsidRPr="00F84145">
        <w:rPr>
          <w:rFonts w:ascii="Arial" w:hAnsi="Arial" w:cs="Arial"/>
          <w:lang w:val="fr-FR"/>
        </w:rPr>
        <w:t>audit</w:t>
      </w:r>
      <w:r w:rsidR="002C5701">
        <w:rPr>
          <w:rFonts w:ascii="Arial" w:hAnsi="Arial" w:cs="Arial"/>
          <w:lang w:val="fr-FR"/>
        </w:rPr>
        <w:t>)</w:t>
      </w:r>
    </w:p>
    <w:p w:rsidR="002C5701" w:rsidRDefault="00F84145" w:rsidP="00F84145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2C5701">
        <w:rPr>
          <w:rFonts w:ascii="Arial" w:hAnsi="Arial" w:cs="Arial"/>
          <w:lang w:val="fr-FR"/>
        </w:rPr>
        <w:t>lors de l'accumulation de</w:t>
      </w:r>
      <w:r w:rsidR="002C5701" w:rsidRPr="002C5701">
        <w:rPr>
          <w:rFonts w:ascii="Arial" w:hAnsi="Arial" w:cs="Arial"/>
          <w:lang w:val="fr-FR"/>
        </w:rPr>
        <w:t>s</w:t>
      </w:r>
      <w:r w:rsidRPr="002C5701">
        <w:rPr>
          <w:rFonts w:ascii="Arial" w:hAnsi="Arial" w:cs="Arial"/>
          <w:lang w:val="fr-FR"/>
        </w:rPr>
        <w:t xml:space="preserve"> supports de stockage en vue de leur élimination, l'effet d'agrégation</w:t>
      </w:r>
      <w:r w:rsidR="00182978">
        <w:rPr>
          <w:rFonts w:ascii="Arial" w:hAnsi="Arial" w:cs="Arial"/>
          <w:lang w:val="fr-FR"/>
        </w:rPr>
        <w:t xml:space="preserve"> est pris en compte</w:t>
      </w:r>
      <w:r w:rsidRPr="002C5701">
        <w:rPr>
          <w:rFonts w:ascii="Arial" w:hAnsi="Arial" w:cs="Arial"/>
          <w:lang w:val="fr-FR"/>
        </w:rPr>
        <w:t>, qui peut rendre sensibles une grande quanti</w:t>
      </w:r>
      <w:r w:rsidR="002C5701" w:rsidRPr="002C5701">
        <w:rPr>
          <w:rFonts w:ascii="Arial" w:hAnsi="Arial" w:cs="Arial"/>
          <w:lang w:val="fr-FR"/>
        </w:rPr>
        <w:t>té d'informations non sensibles</w:t>
      </w:r>
    </w:p>
    <w:p w:rsidR="002C5701" w:rsidRDefault="002C5701" w:rsidP="002C5701">
      <w:pPr>
        <w:pStyle w:val="Default"/>
        <w:jc w:val="both"/>
        <w:rPr>
          <w:rFonts w:ascii="Arial" w:hAnsi="Arial" w:cs="Arial"/>
          <w:lang w:val="fr-FR"/>
        </w:rPr>
      </w:pPr>
    </w:p>
    <w:p w:rsidR="00F84145" w:rsidRPr="002C5701" w:rsidRDefault="002C5701" w:rsidP="002C5701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</w:t>
      </w:r>
      <w:r w:rsidR="00F84145" w:rsidRPr="002C5701">
        <w:rPr>
          <w:rFonts w:ascii="Arial" w:hAnsi="Arial" w:cs="Arial"/>
          <w:lang w:val="fr-FR"/>
        </w:rPr>
        <w:t xml:space="preserve">ne évaluation des risques </w:t>
      </w:r>
      <w:r>
        <w:rPr>
          <w:rFonts w:ascii="Arial" w:hAnsi="Arial" w:cs="Arial"/>
          <w:lang w:val="fr-FR"/>
        </w:rPr>
        <w:t xml:space="preserve">est </w:t>
      </w:r>
      <w:r w:rsidR="00F84145" w:rsidRPr="002C5701">
        <w:rPr>
          <w:rFonts w:ascii="Arial" w:hAnsi="Arial" w:cs="Arial"/>
          <w:lang w:val="fr-FR"/>
        </w:rPr>
        <w:t>effectuée sur les dispositifs endommagés contenant des données sensibles afin de déterminer si les éléments doivent être physiquement détruits plutôt qu'envoyés pour réparat</w:t>
      </w:r>
      <w:r w:rsidRPr="002C5701">
        <w:rPr>
          <w:rFonts w:ascii="Arial" w:hAnsi="Arial" w:cs="Arial"/>
          <w:lang w:val="fr-FR"/>
        </w:rPr>
        <w:t>ion ou mis au rebut</w:t>
      </w:r>
      <w:r>
        <w:rPr>
          <w:rFonts w:ascii="Arial" w:hAnsi="Arial" w:cs="Arial"/>
          <w:lang w:val="fr-FR"/>
        </w:rPr>
        <w:t>.</w:t>
      </w:r>
    </w:p>
    <w:p w:rsidR="00F84145" w:rsidRDefault="00F84145" w:rsidP="001D44F8">
      <w:pPr>
        <w:pStyle w:val="Default"/>
        <w:jc w:val="both"/>
        <w:rPr>
          <w:rFonts w:ascii="Arial" w:hAnsi="Arial" w:cs="Arial"/>
          <w:lang w:val="fr-FR"/>
        </w:rPr>
      </w:pPr>
    </w:p>
    <w:p w:rsidR="00D54860" w:rsidRDefault="00165906" w:rsidP="00D54860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cs="Times New Roman"/>
          <w:color w:val="auto"/>
          <w:lang w:val="fr-FR"/>
        </w:rPr>
        <w:t>L</w:t>
      </w:r>
      <w:r w:rsidR="00D54860" w:rsidRPr="00D54860">
        <w:rPr>
          <w:rFonts w:ascii="Arial" w:hAnsi="Arial" w:cs="Arial"/>
          <w:lang w:val="fr-FR"/>
        </w:rPr>
        <w:t xml:space="preserve">e contenu de tout support réutilisable devant être </w:t>
      </w:r>
      <w:r>
        <w:rPr>
          <w:rFonts w:ascii="Arial" w:hAnsi="Arial" w:cs="Arial"/>
          <w:lang w:val="fr-FR"/>
        </w:rPr>
        <w:t xml:space="preserve">mis au rebut </w:t>
      </w:r>
      <w:r w:rsidR="00D54860" w:rsidRPr="00D54860">
        <w:rPr>
          <w:rFonts w:ascii="Arial" w:hAnsi="Arial" w:cs="Arial"/>
          <w:lang w:val="fr-FR"/>
        </w:rPr>
        <w:t>est rendu irrécupérable</w:t>
      </w:r>
      <w:r>
        <w:rPr>
          <w:rFonts w:ascii="Arial" w:hAnsi="Arial" w:cs="Arial"/>
          <w:lang w:val="fr-FR"/>
        </w:rPr>
        <w:t xml:space="preserve">. Si le contenu du support est indispensable celui-ci sera transféré sur un autre support. Plus de détails dans la procédure </w:t>
      </w:r>
      <w:r w:rsidRPr="00165906">
        <w:rPr>
          <w:rFonts w:ascii="Arial" w:hAnsi="Arial" w:cs="Arial"/>
          <w:color w:val="0070C0"/>
          <w:lang w:val="fr-FR"/>
        </w:rPr>
        <w:t>Transfert de l’information</w:t>
      </w:r>
      <w:r>
        <w:rPr>
          <w:rFonts w:ascii="Arial" w:hAnsi="Arial" w:cs="Arial"/>
          <w:lang w:val="fr-FR"/>
        </w:rPr>
        <w:t>.</w:t>
      </w:r>
    </w:p>
    <w:sectPr w:rsidR="00D54860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A0" w:rsidRDefault="00DC60A0">
      <w:r>
        <w:separator/>
      </w:r>
    </w:p>
  </w:endnote>
  <w:endnote w:type="continuationSeparator" w:id="0">
    <w:p w:rsidR="00DC60A0" w:rsidRDefault="00DC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A0" w:rsidRDefault="00DC60A0">
      <w:r>
        <w:separator/>
      </w:r>
    </w:p>
  </w:footnote>
  <w:footnote w:type="continuationSeparator" w:id="0">
    <w:p w:rsidR="00DC60A0" w:rsidRDefault="00DC6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1"/>
      <w:gridCol w:w="3324"/>
      <w:gridCol w:w="3255"/>
    </w:tblGrid>
    <w:tr w:rsidR="0071673F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71673F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 xml:space="preserve">Supports </w:t>
          </w:r>
          <w:r w:rsidR="00A47AD9">
            <w:rPr>
              <w:iCs/>
              <w:sz w:val="20"/>
              <w:szCs w:val="22"/>
            </w:rPr>
            <w:t>de stockage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A47AD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77256F">
            <w:rPr>
              <w:rFonts w:ascii="Arial" w:hAnsi="Arial" w:cs="Arial"/>
              <w:szCs w:val="22"/>
            </w:rPr>
            <w:t>0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71673F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F26D58">
            <w:rPr>
              <w:rFonts w:ascii="Arial" w:hAnsi="Arial" w:cs="Arial"/>
              <w:noProof/>
              <w:szCs w:val="22"/>
            </w:rPr>
            <w:t>08/04/2023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A42D0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A42D0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906143"/>
    <w:multiLevelType w:val="hybridMultilevel"/>
    <w:tmpl w:val="BE346D9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D43D1C"/>
    <w:multiLevelType w:val="hybridMultilevel"/>
    <w:tmpl w:val="349A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A6A94"/>
    <w:multiLevelType w:val="hybridMultilevel"/>
    <w:tmpl w:val="46AEFF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6268F3"/>
    <w:multiLevelType w:val="hybridMultilevel"/>
    <w:tmpl w:val="240EB368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527DBD"/>
    <w:multiLevelType w:val="hybridMultilevel"/>
    <w:tmpl w:val="E522F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9C5EEF"/>
    <w:multiLevelType w:val="hybridMultilevel"/>
    <w:tmpl w:val="6B9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27"/>
  </w:num>
  <w:num w:numId="4">
    <w:abstractNumId w:val="31"/>
  </w:num>
  <w:num w:numId="5">
    <w:abstractNumId w:val="21"/>
  </w:num>
  <w:num w:numId="6">
    <w:abstractNumId w:val="2"/>
  </w:num>
  <w:num w:numId="7">
    <w:abstractNumId w:val="9"/>
  </w:num>
  <w:num w:numId="8">
    <w:abstractNumId w:val="18"/>
  </w:num>
  <w:num w:numId="9">
    <w:abstractNumId w:val="13"/>
  </w:num>
  <w:num w:numId="10">
    <w:abstractNumId w:val="22"/>
  </w:num>
  <w:num w:numId="11">
    <w:abstractNumId w:val="32"/>
  </w:num>
  <w:num w:numId="12">
    <w:abstractNumId w:val="25"/>
  </w:num>
  <w:num w:numId="13">
    <w:abstractNumId w:val="26"/>
  </w:num>
  <w:num w:numId="14">
    <w:abstractNumId w:val="0"/>
  </w:num>
  <w:num w:numId="15">
    <w:abstractNumId w:val="14"/>
  </w:num>
  <w:num w:numId="16">
    <w:abstractNumId w:val="11"/>
  </w:num>
  <w:num w:numId="17">
    <w:abstractNumId w:val="5"/>
  </w:num>
  <w:num w:numId="18">
    <w:abstractNumId w:val="4"/>
  </w:num>
  <w:num w:numId="19">
    <w:abstractNumId w:val="3"/>
  </w:num>
  <w:num w:numId="20">
    <w:abstractNumId w:val="20"/>
  </w:num>
  <w:num w:numId="21">
    <w:abstractNumId w:val="10"/>
  </w:num>
  <w:num w:numId="22">
    <w:abstractNumId w:val="1"/>
  </w:num>
  <w:num w:numId="23">
    <w:abstractNumId w:val="28"/>
  </w:num>
  <w:num w:numId="24">
    <w:abstractNumId w:val="8"/>
  </w:num>
  <w:num w:numId="25">
    <w:abstractNumId w:val="30"/>
  </w:num>
  <w:num w:numId="26">
    <w:abstractNumId w:val="12"/>
  </w:num>
  <w:num w:numId="27">
    <w:abstractNumId w:val="6"/>
  </w:num>
  <w:num w:numId="28">
    <w:abstractNumId w:val="24"/>
  </w:num>
  <w:num w:numId="29">
    <w:abstractNumId w:val="23"/>
  </w:num>
  <w:num w:numId="30">
    <w:abstractNumId w:val="7"/>
  </w:num>
  <w:num w:numId="31">
    <w:abstractNumId w:val="15"/>
  </w:num>
  <w:num w:numId="32">
    <w:abstractNumId w:val="16"/>
  </w:num>
  <w:num w:numId="33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24D76"/>
    <w:rsid w:val="00053253"/>
    <w:rsid w:val="000656BE"/>
    <w:rsid w:val="000D60C0"/>
    <w:rsid w:val="001014BF"/>
    <w:rsid w:val="00107E41"/>
    <w:rsid w:val="00126AAE"/>
    <w:rsid w:val="00165906"/>
    <w:rsid w:val="00182978"/>
    <w:rsid w:val="001B70D3"/>
    <w:rsid w:val="001D44F8"/>
    <w:rsid w:val="00236E31"/>
    <w:rsid w:val="00265E1A"/>
    <w:rsid w:val="00277163"/>
    <w:rsid w:val="0029524C"/>
    <w:rsid w:val="002A42D0"/>
    <w:rsid w:val="002B2911"/>
    <w:rsid w:val="002C5701"/>
    <w:rsid w:val="002D6AFF"/>
    <w:rsid w:val="0030640C"/>
    <w:rsid w:val="00312522"/>
    <w:rsid w:val="00334116"/>
    <w:rsid w:val="00357060"/>
    <w:rsid w:val="003613A8"/>
    <w:rsid w:val="003726FA"/>
    <w:rsid w:val="00373453"/>
    <w:rsid w:val="00375F10"/>
    <w:rsid w:val="003A6BB2"/>
    <w:rsid w:val="003D19EB"/>
    <w:rsid w:val="003D5F81"/>
    <w:rsid w:val="004C4851"/>
    <w:rsid w:val="004D07AC"/>
    <w:rsid w:val="00515444"/>
    <w:rsid w:val="0056151E"/>
    <w:rsid w:val="005621E6"/>
    <w:rsid w:val="00563377"/>
    <w:rsid w:val="005A5B15"/>
    <w:rsid w:val="005B5562"/>
    <w:rsid w:val="005E0496"/>
    <w:rsid w:val="005E3096"/>
    <w:rsid w:val="005F5335"/>
    <w:rsid w:val="006C6266"/>
    <w:rsid w:val="00705CC1"/>
    <w:rsid w:val="0071673F"/>
    <w:rsid w:val="007209B3"/>
    <w:rsid w:val="00733D59"/>
    <w:rsid w:val="00772177"/>
    <w:rsid w:val="0077256F"/>
    <w:rsid w:val="00777487"/>
    <w:rsid w:val="00781F4A"/>
    <w:rsid w:val="007E3885"/>
    <w:rsid w:val="00812954"/>
    <w:rsid w:val="008273DA"/>
    <w:rsid w:val="0087061C"/>
    <w:rsid w:val="00895DA2"/>
    <w:rsid w:val="0089659F"/>
    <w:rsid w:val="008E6DEA"/>
    <w:rsid w:val="00987B02"/>
    <w:rsid w:val="009A1041"/>
    <w:rsid w:val="009E4A30"/>
    <w:rsid w:val="009F6597"/>
    <w:rsid w:val="00A2014A"/>
    <w:rsid w:val="00A4786C"/>
    <w:rsid w:val="00A47AD9"/>
    <w:rsid w:val="00AB4BFC"/>
    <w:rsid w:val="00AE180F"/>
    <w:rsid w:val="00B25076"/>
    <w:rsid w:val="00B523E4"/>
    <w:rsid w:val="00B525BD"/>
    <w:rsid w:val="00B86977"/>
    <w:rsid w:val="00BF3BE9"/>
    <w:rsid w:val="00BF680B"/>
    <w:rsid w:val="00C03916"/>
    <w:rsid w:val="00C644C6"/>
    <w:rsid w:val="00CC090E"/>
    <w:rsid w:val="00CE7144"/>
    <w:rsid w:val="00CF7292"/>
    <w:rsid w:val="00D5013B"/>
    <w:rsid w:val="00D54860"/>
    <w:rsid w:val="00D7348B"/>
    <w:rsid w:val="00DA2E61"/>
    <w:rsid w:val="00DA4A84"/>
    <w:rsid w:val="00DC60A0"/>
    <w:rsid w:val="00E54989"/>
    <w:rsid w:val="00E8025B"/>
    <w:rsid w:val="00EB04DC"/>
    <w:rsid w:val="00ED1F06"/>
    <w:rsid w:val="00ED444D"/>
    <w:rsid w:val="00EE2781"/>
    <w:rsid w:val="00EF74A7"/>
    <w:rsid w:val="00F22A7B"/>
    <w:rsid w:val="00F2328C"/>
    <w:rsid w:val="00F26D58"/>
    <w:rsid w:val="00F84145"/>
    <w:rsid w:val="00F84510"/>
    <w:rsid w:val="00F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Supports de stockage</vt:lpstr>
    </vt:vector>
  </TitlesOfParts>
  <Company>PRIVE</Company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Supports de stockage</dc:title>
  <dc:creator>AMI</dc:creator>
  <cp:lastModifiedBy>AMI</cp:lastModifiedBy>
  <cp:revision>10</cp:revision>
  <cp:lastPrinted>2016-01-15T08:56:00Z</cp:lastPrinted>
  <dcterms:created xsi:type="dcterms:W3CDTF">2022-11-27T15:28:00Z</dcterms:created>
  <dcterms:modified xsi:type="dcterms:W3CDTF">2023-04-08T15:06:00Z</dcterms:modified>
</cp:coreProperties>
</file>