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114A40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114A40" w:rsidRDefault="004C162F" w:rsidP="00E61EDD">
            <w:pPr>
              <w:pStyle w:val="NormalWeb"/>
              <w:jc w:val="both"/>
              <w:rPr>
                <w:rFonts w:ascii="Arial" w:hAnsi="Arial" w:cs="Arial"/>
              </w:rPr>
            </w:pPr>
            <w:r w:rsidRPr="00114A40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114A40" w:rsidRDefault="00407D05" w:rsidP="00114A40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114A40">
              <w:rPr>
                <w:rFonts w:ascii="Arial" w:hAnsi="Arial" w:cs="Arial"/>
                <w:sz w:val="36"/>
                <w:szCs w:val="36"/>
              </w:rPr>
              <w:t>S</w:t>
            </w:r>
            <w:r w:rsidR="00114A40" w:rsidRPr="00114A40">
              <w:rPr>
                <w:rFonts w:ascii="Arial" w:hAnsi="Arial" w:cs="Arial"/>
                <w:sz w:val="36"/>
                <w:szCs w:val="36"/>
              </w:rPr>
              <w:t>ynchronisation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114A40" w:rsidRDefault="00BB4C31" w:rsidP="00100A4D">
            <w:pPr>
              <w:pStyle w:val="NormalWeb"/>
              <w:jc w:val="center"/>
              <w:rPr>
                <w:rFonts w:ascii="Arial" w:hAnsi="Arial" w:cs="Arial"/>
              </w:rPr>
            </w:pPr>
            <w:r w:rsidRPr="00114A40">
              <w:rPr>
                <w:rFonts w:ascii="Arial" w:hAnsi="Arial" w:cs="Arial"/>
              </w:rPr>
              <w:t>10</w:t>
            </w:r>
            <w:r w:rsidR="00100A4D" w:rsidRPr="00114A40">
              <w:rPr>
                <w:rFonts w:ascii="Arial" w:hAnsi="Arial" w:cs="Arial"/>
              </w:rPr>
              <w:t>80</w:t>
            </w:r>
          </w:p>
        </w:tc>
      </w:tr>
    </w:tbl>
    <w:p w:rsidR="004C162F" w:rsidRPr="00114A40" w:rsidRDefault="004C162F" w:rsidP="00E61ED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A19E4" w:rsidRPr="00114A40" w:rsidRDefault="006A19E4" w:rsidP="00E61EDD">
      <w:pPr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>Responsable :</w:t>
      </w:r>
    </w:p>
    <w:p w:rsidR="006A19E4" w:rsidRPr="00114A40" w:rsidRDefault="006A19E4" w:rsidP="00E61EDD">
      <w:pPr>
        <w:jc w:val="both"/>
        <w:rPr>
          <w:rFonts w:ascii="Arial" w:hAnsi="Arial" w:cs="Arial"/>
        </w:rPr>
      </w:pPr>
    </w:p>
    <w:p w:rsidR="006A19E4" w:rsidRPr="00114A40" w:rsidRDefault="006A19E4" w:rsidP="00E61EDD">
      <w:pPr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>Mis à jour :</w:t>
      </w:r>
    </w:p>
    <w:p w:rsidR="00AD2E23" w:rsidRPr="00114A40" w:rsidRDefault="00AD2E23" w:rsidP="00E61EDD">
      <w:pPr>
        <w:jc w:val="both"/>
        <w:rPr>
          <w:rFonts w:ascii="Arial" w:hAnsi="Arial" w:cs="Arial"/>
        </w:rPr>
      </w:pPr>
    </w:p>
    <w:p w:rsidR="00114A40" w:rsidRP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 xml:space="preserve">Les horloges des systèmes de traitement de l'information </w:t>
      </w:r>
      <w:r>
        <w:rPr>
          <w:rFonts w:ascii="Arial" w:hAnsi="Arial" w:cs="Arial"/>
        </w:rPr>
        <w:t xml:space="preserve">sont </w:t>
      </w:r>
      <w:r w:rsidRPr="00114A40">
        <w:rPr>
          <w:rFonts w:ascii="Arial" w:hAnsi="Arial" w:cs="Arial"/>
        </w:rPr>
        <w:t>synchronisées avec d</w:t>
      </w:r>
      <w:r>
        <w:rPr>
          <w:rFonts w:ascii="Arial" w:hAnsi="Arial" w:cs="Arial"/>
        </w:rPr>
        <w:t xml:space="preserve">es sources de temps approuvées afin de permettre </w:t>
      </w:r>
      <w:r w:rsidRPr="00114A40">
        <w:rPr>
          <w:rFonts w:ascii="Arial" w:hAnsi="Arial" w:cs="Arial"/>
        </w:rPr>
        <w:t xml:space="preserve">l'analyse des événements liés à la sécurité </w:t>
      </w:r>
      <w:r>
        <w:rPr>
          <w:rFonts w:ascii="Arial" w:hAnsi="Arial" w:cs="Arial"/>
        </w:rPr>
        <w:t xml:space="preserve">de l’information </w:t>
      </w:r>
      <w:r w:rsidRPr="00114A40">
        <w:rPr>
          <w:rFonts w:ascii="Arial" w:hAnsi="Arial" w:cs="Arial"/>
        </w:rPr>
        <w:t xml:space="preserve">et </w:t>
      </w:r>
      <w:r>
        <w:rPr>
          <w:rFonts w:ascii="Arial" w:hAnsi="Arial" w:cs="Arial"/>
        </w:rPr>
        <w:t xml:space="preserve">de </w:t>
      </w:r>
      <w:r w:rsidRPr="00114A40">
        <w:rPr>
          <w:rFonts w:ascii="Arial" w:hAnsi="Arial" w:cs="Arial"/>
        </w:rPr>
        <w:t>soutenir les enquêtes sur les incidents de sécurité de l'information.</w:t>
      </w: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 xml:space="preserve">Les exigences externes et internes en matière de représentation temporelle, de synchronisation fiable et de précision </w:t>
      </w:r>
      <w:r>
        <w:rPr>
          <w:rFonts w:ascii="Arial" w:hAnsi="Arial" w:cs="Arial"/>
        </w:rPr>
        <w:t xml:space="preserve">sont </w:t>
      </w:r>
      <w:r w:rsidRPr="00114A40">
        <w:rPr>
          <w:rFonts w:ascii="Arial" w:hAnsi="Arial" w:cs="Arial"/>
        </w:rPr>
        <w:t xml:space="preserve">documentées et </w:t>
      </w:r>
      <w:r>
        <w:rPr>
          <w:rFonts w:ascii="Arial" w:hAnsi="Arial" w:cs="Arial"/>
        </w:rPr>
        <w:t>respectées.</w:t>
      </w: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 xml:space="preserve">Ces exigences peuvent provenir de besoins légaux, statutaires, réglementaires, contractuels, normatifs et de contrôle interne. </w:t>
      </w: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114A40">
        <w:rPr>
          <w:rFonts w:ascii="Arial" w:hAnsi="Arial" w:cs="Arial"/>
        </w:rPr>
        <w:t>temps de référence standard utilis</w:t>
      </w:r>
      <w:r>
        <w:rPr>
          <w:rFonts w:ascii="Arial" w:hAnsi="Arial" w:cs="Arial"/>
        </w:rPr>
        <w:t>é dans</w:t>
      </w:r>
      <w:r w:rsidRPr="00114A40">
        <w:rPr>
          <w:rFonts w:ascii="Arial" w:hAnsi="Arial" w:cs="Arial"/>
        </w:rPr>
        <w:t xml:space="preserve"> l'organisation </w:t>
      </w:r>
      <w:r>
        <w:rPr>
          <w:rFonts w:ascii="Arial" w:hAnsi="Arial" w:cs="Arial"/>
        </w:rPr>
        <w:t xml:space="preserve">est </w:t>
      </w:r>
      <w:r w:rsidRPr="00114A40">
        <w:rPr>
          <w:rFonts w:ascii="Arial" w:hAnsi="Arial" w:cs="Arial"/>
        </w:rPr>
        <w:t>défini et pris en compte pour tous les systèmes, y compris les systèmes de gestion des bâtiments, les systèmes d'entrée et de sortie et d'autres qui peuvent être utilisés pour faciliter les enquêtes.</w:t>
      </w:r>
    </w:p>
    <w:p w:rsidR="00114A40" w:rsidRP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 xml:space="preserve">Une horloge reliée à une heure radio diffusée à partir d'une horloge atomique nationale ou d'un système de positionnement global (GPS) </w:t>
      </w:r>
      <w:r>
        <w:rPr>
          <w:rFonts w:ascii="Arial" w:hAnsi="Arial" w:cs="Arial"/>
        </w:rPr>
        <w:t xml:space="preserve">est </w:t>
      </w:r>
      <w:r w:rsidRPr="00114A40">
        <w:rPr>
          <w:rFonts w:ascii="Arial" w:hAnsi="Arial" w:cs="Arial"/>
        </w:rPr>
        <w:t>utilisée comme horloge de référence pour les systèmes de journalisation</w:t>
      </w:r>
      <w:r>
        <w:rPr>
          <w:rFonts w:ascii="Arial" w:hAnsi="Arial" w:cs="Arial"/>
        </w:rPr>
        <w:t>. U</w:t>
      </w:r>
      <w:r w:rsidRPr="00114A40">
        <w:rPr>
          <w:rFonts w:ascii="Arial" w:hAnsi="Arial" w:cs="Arial"/>
        </w:rPr>
        <w:t>ne source de date et d'heure cohérente et fiable garanti</w:t>
      </w:r>
      <w:r>
        <w:rPr>
          <w:rFonts w:ascii="Arial" w:hAnsi="Arial" w:cs="Arial"/>
        </w:rPr>
        <w:t>t</w:t>
      </w:r>
      <w:r w:rsidRPr="00114A40">
        <w:rPr>
          <w:rFonts w:ascii="Arial" w:hAnsi="Arial" w:cs="Arial"/>
        </w:rPr>
        <w:t xml:space="preserve"> des horodatages précis. </w:t>
      </w: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 xml:space="preserve">Des protocoles tels que le protocole de temps réseau (NTP) ou le protocole de temps de précision (PTP) </w:t>
      </w:r>
      <w:r>
        <w:rPr>
          <w:rFonts w:ascii="Arial" w:hAnsi="Arial" w:cs="Arial"/>
        </w:rPr>
        <w:t xml:space="preserve">sont </w:t>
      </w:r>
      <w:r w:rsidRPr="00114A40">
        <w:rPr>
          <w:rFonts w:ascii="Arial" w:hAnsi="Arial" w:cs="Arial"/>
        </w:rPr>
        <w:t>utilisés pour maintenir tous les systèmes réseau</w:t>
      </w:r>
      <w:r>
        <w:rPr>
          <w:rFonts w:ascii="Arial" w:hAnsi="Arial" w:cs="Arial"/>
        </w:rPr>
        <w:t>x</w:t>
      </w:r>
      <w:r w:rsidRPr="00114A40">
        <w:rPr>
          <w:rFonts w:ascii="Arial" w:hAnsi="Arial" w:cs="Arial"/>
        </w:rPr>
        <w:t xml:space="preserve"> en synchronisation avec </w:t>
      </w:r>
      <w:r>
        <w:rPr>
          <w:rFonts w:ascii="Arial" w:hAnsi="Arial" w:cs="Arial"/>
        </w:rPr>
        <w:t>l’</w:t>
      </w:r>
      <w:r w:rsidRPr="00114A40">
        <w:rPr>
          <w:rFonts w:ascii="Arial" w:hAnsi="Arial" w:cs="Arial"/>
        </w:rPr>
        <w:t>horloge de référence.</w:t>
      </w:r>
    </w:p>
    <w:p w:rsidR="00114A40" w:rsidRP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>L'organisation peut utiliser deux sources de temps externes en même temps afin d'améliorer la fiabilité des horloges externes et de gérer de manière appropriée tout écart.</w:t>
      </w:r>
    </w:p>
    <w:p w:rsidR="00114A40" w:rsidRP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</w:p>
    <w:p w:rsidR="00937384" w:rsidRPr="00114A40" w:rsidRDefault="00114A40" w:rsidP="00114A40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r w:rsidRPr="00114A40">
        <w:rPr>
          <w:rFonts w:ascii="Arial" w:hAnsi="Arial" w:cs="Arial"/>
        </w:rPr>
        <w:t xml:space="preserve">La synchronisation de l'horloge peut être difficile lors de l'utilisation de plusieurs services </w:t>
      </w:r>
      <w:r w:rsidR="008F3A72">
        <w:rPr>
          <w:rFonts w:ascii="Arial" w:hAnsi="Arial" w:cs="Arial"/>
        </w:rPr>
        <w:t xml:space="preserve">en nuage </w:t>
      </w:r>
      <w:r w:rsidRPr="00114A40">
        <w:rPr>
          <w:rFonts w:ascii="Arial" w:hAnsi="Arial" w:cs="Arial"/>
        </w:rPr>
        <w:t xml:space="preserve">ou lors de l'utilisation à la fois de services </w:t>
      </w:r>
      <w:r w:rsidR="008F3A72">
        <w:rPr>
          <w:rFonts w:ascii="Arial" w:hAnsi="Arial" w:cs="Arial"/>
        </w:rPr>
        <w:t>en nuage e</w:t>
      </w:r>
      <w:r w:rsidRPr="00114A40">
        <w:rPr>
          <w:rFonts w:ascii="Arial" w:hAnsi="Arial" w:cs="Arial"/>
        </w:rPr>
        <w:t xml:space="preserve">t sur site. Dans ce cas, l'horloge de chaque service </w:t>
      </w:r>
      <w:r w:rsidR="008F3A72">
        <w:rPr>
          <w:rFonts w:ascii="Arial" w:hAnsi="Arial" w:cs="Arial"/>
        </w:rPr>
        <w:t xml:space="preserve">est </w:t>
      </w:r>
      <w:r w:rsidRPr="00114A40">
        <w:rPr>
          <w:rFonts w:ascii="Arial" w:hAnsi="Arial" w:cs="Arial"/>
        </w:rPr>
        <w:t>surveillée et la différence enregistrée afin d'atténuer les risques liés aux écarts.</w:t>
      </w:r>
    </w:p>
    <w:p w:rsidR="00937384" w:rsidRPr="00114A40" w:rsidRDefault="00937384" w:rsidP="00937384">
      <w:pPr>
        <w:tabs>
          <w:tab w:val="left" w:pos="1440"/>
          <w:tab w:val="left" w:pos="7560"/>
        </w:tabs>
        <w:jc w:val="both"/>
        <w:rPr>
          <w:rFonts w:ascii="Arial" w:hAnsi="Arial" w:cs="Arial"/>
        </w:rPr>
      </w:pPr>
      <w:bookmarkStart w:id="0" w:name="_GoBack"/>
      <w:bookmarkEnd w:id="0"/>
    </w:p>
    <w:sectPr w:rsidR="00937384" w:rsidRPr="00114A40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92" w:rsidRDefault="00C66492">
      <w:r>
        <w:separator/>
      </w:r>
    </w:p>
  </w:endnote>
  <w:endnote w:type="continuationSeparator" w:id="0">
    <w:p w:rsidR="00C66492" w:rsidRDefault="00C6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8F3A72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92" w:rsidRDefault="00C66492">
      <w:r>
        <w:separator/>
      </w:r>
    </w:p>
  </w:footnote>
  <w:footnote w:type="continuationSeparator" w:id="0">
    <w:p w:rsidR="00C66492" w:rsidRDefault="00C6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AEE"/>
    <w:multiLevelType w:val="hybridMultilevel"/>
    <w:tmpl w:val="AE2200F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80816"/>
    <w:multiLevelType w:val="hybridMultilevel"/>
    <w:tmpl w:val="EB7210F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D2F2C"/>
    <w:multiLevelType w:val="hybridMultilevel"/>
    <w:tmpl w:val="B16C25B4"/>
    <w:lvl w:ilvl="0" w:tplc="101C887A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13455"/>
    <w:multiLevelType w:val="hybridMultilevel"/>
    <w:tmpl w:val="ACC45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52FDF"/>
    <w:multiLevelType w:val="hybridMultilevel"/>
    <w:tmpl w:val="9B14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DCC"/>
    <w:multiLevelType w:val="hybridMultilevel"/>
    <w:tmpl w:val="579E9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64506"/>
    <w:multiLevelType w:val="hybridMultilevel"/>
    <w:tmpl w:val="8E6C356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C5DD2"/>
    <w:multiLevelType w:val="hybridMultilevel"/>
    <w:tmpl w:val="0D26D0E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E504F"/>
    <w:multiLevelType w:val="hybridMultilevel"/>
    <w:tmpl w:val="37DC474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7532A"/>
    <w:multiLevelType w:val="hybridMultilevel"/>
    <w:tmpl w:val="93E8D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6890"/>
    <w:rsid w:val="000C5CCB"/>
    <w:rsid w:val="000D4D46"/>
    <w:rsid w:val="000D51F0"/>
    <w:rsid w:val="000E59FC"/>
    <w:rsid w:val="00100A4D"/>
    <w:rsid w:val="00100B17"/>
    <w:rsid w:val="00107E4F"/>
    <w:rsid w:val="00114A40"/>
    <w:rsid w:val="001261FB"/>
    <w:rsid w:val="00130929"/>
    <w:rsid w:val="0014601D"/>
    <w:rsid w:val="00151BD6"/>
    <w:rsid w:val="001657A0"/>
    <w:rsid w:val="001A037A"/>
    <w:rsid w:val="001A5AC9"/>
    <w:rsid w:val="001E180B"/>
    <w:rsid w:val="00206BA2"/>
    <w:rsid w:val="00210207"/>
    <w:rsid w:val="002344D8"/>
    <w:rsid w:val="00284BE0"/>
    <w:rsid w:val="002C7D9B"/>
    <w:rsid w:val="002D715D"/>
    <w:rsid w:val="002E2022"/>
    <w:rsid w:val="002F7CD8"/>
    <w:rsid w:val="0032516A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07D05"/>
    <w:rsid w:val="0042470E"/>
    <w:rsid w:val="00470570"/>
    <w:rsid w:val="00486B33"/>
    <w:rsid w:val="00490238"/>
    <w:rsid w:val="00496C29"/>
    <w:rsid w:val="0049774F"/>
    <w:rsid w:val="004A2B44"/>
    <w:rsid w:val="004A3919"/>
    <w:rsid w:val="004B3A07"/>
    <w:rsid w:val="004B4F61"/>
    <w:rsid w:val="004C162F"/>
    <w:rsid w:val="004C466A"/>
    <w:rsid w:val="00512A7A"/>
    <w:rsid w:val="00563E39"/>
    <w:rsid w:val="005778EC"/>
    <w:rsid w:val="005A43BF"/>
    <w:rsid w:val="005C184C"/>
    <w:rsid w:val="005C490B"/>
    <w:rsid w:val="005F25F8"/>
    <w:rsid w:val="00660BC9"/>
    <w:rsid w:val="0068118A"/>
    <w:rsid w:val="00683EAA"/>
    <w:rsid w:val="006A043F"/>
    <w:rsid w:val="006A19E4"/>
    <w:rsid w:val="006D718E"/>
    <w:rsid w:val="006E5E7F"/>
    <w:rsid w:val="006F0C0B"/>
    <w:rsid w:val="006F30D0"/>
    <w:rsid w:val="00740233"/>
    <w:rsid w:val="007402C7"/>
    <w:rsid w:val="00741CB8"/>
    <w:rsid w:val="00742168"/>
    <w:rsid w:val="0074708C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8F3A72"/>
    <w:rsid w:val="009070D6"/>
    <w:rsid w:val="00920E0E"/>
    <w:rsid w:val="0092269F"/>
    <w:rsid w:val="0093225E"/>
    <w:rsid w:val="009326C4"/>
    <w:rsid w:val="00937384"/>
    <w:rsid w:val="00995A3A"/>
    <w:rsid w:val="0099615C"/>
    <w:rsid w:val="00996F52"/>
    <w:rsid w:val="009B1BB9"/>
    <w:rsid w:val="009E713C"/>
    <w:rsid w:val="009F77CF"/>
    <w:rsid w:val="00A1172D"/>
    <w:rsid w:val="00A11D27"/>
    <w:rsid w:val="00A236DD"/>
    <w:rsid w:val="00A33B1D"/>
    <w:rsid w:val="00A647B4"/>
    <w:rsid w:val="00A80E82"/>
    <w:rsid w:val="00A977DD"/>
    <w:rsid w:val="00AC6874"/>
    <w:rsid w:val="00AD1F7B"/>
    <w:rsid w:val="00AD2E23"/>
    <w:rsid w:val="00AD617A"/>
    <w:rsid w:val="00AF0BA3"/>
    <w:rsid w:val="00B10625"/>
    <w:rsid w:val="00B330FA"/>
    <w:rsid w:val="00B35408"/>
    <w:rsid w:val="00B355BD"/>
    <w:rsid w:val="00B41EEA"/>
    <w:rsid w:val="00B512F5"/>
    <w:rsid w:val="00B55115"/>
    <w:rsid w:val="00BA3746"/>
    <w:rsid w:val="00BB4C31"/>
    <w:rsid w:val="00BC2F59"/>
    <w:rsid w:val="00BD45A8"/>
    <w:rsid w:val="00C043A2"/>
    <w:rsid w:val="00C11799"/>
    <w:rsid w:val="00C165E0"/>
    <w:rsid w:val="00C26606"/>
    <w:rsid w:val="00C34BB4"/>
    <w:rsid w:val="00C66492"/>
    <w:rsid w:val="00C70422"/>
    <w:rsid w:val="00C76DFA"/>
    <w:rsid w:val="00CA54A8"/>
    <w:rsid w:val="00CC2092"/>
    <w:rsid w:val="00D04B19"/>
    <w:rsid w:val="00D52BEE"/>
    <w:rsid w:val="00D52CDB"/>
    <w:rsid w:val="00D60A06"/>
    <w:rsid w:val="00D61AA8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5792"/>
    <w:rsid w:val="00E61EDD"/>
    <w:rsid w:val="00EB0AD1"/>
    <w:rsid w:val="00EB1507"/>
    <w:rsid w:val="00EC40AA"/>
    <w:rsid w:val="00ED35A1"/>
    <w:rsid w:val="00EE2363"/>
    <w:rsid w:val="00EF3A13"/>
    <w:rsid w:val="00EF6175"/>
    <w:rsid w:val="00F00840"/>
    <w:rsid w:val="00F14DE8"/>
    <w:rsid w:val="00F14F71"/>
    <w:rsid w:val="00F210E8"/>
    <w:rsid w:val="00F46D06"/>
    <w:rsid w:val="00F70DC1"/>
    <w:rsid w:val="00F842F5"/>
    <w:rsid w:val="00F875AF"/>
    <w:rsid w:val="00FA7C93"/>
    <w:rsid w:val="00FB634E"/>
    <w:rsid w:val="00FB76D9"/>
    <w:rsid w:val="00FC0FBB"/>
    <w:rsid w:val="00FD3D06"/>
    <w:rsid w:val="00FD61A7"/>
    <w:rsid w:val="00FD6DD7"/>
    <w:rsid w:val="00FE1014"/>
    <w:rsid w:val="00FF210D"/>
    <w:rsid w:val="00FF5976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Surveillance</vt:lpstr>
    </vt:vector>
  </TitlesOfParts>
  <Company>PQB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Synchronisation</dc:title>
  <dc:creator>André MILEV</dc:creator>
  <cp:lastModifiedBy>AMI</cp:lastModifiedBy>
  <cp:revision>4</cp:revision>
  <dcterms:created xsi:type="dcterms:W3CDTF">2022-12-25T08:42:00Z</dcterms:created>
  <dcterms:modified xsi:type="dcterms:W3CDTF">2022-12-25T08:54:00Z</dcterms:modified>
</cp:coreProperties>
</file>