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drawing>
          <wp:inline distT="0" distB="0" distL="0" distR="0">
            <wp:extent cx="20955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b/>
          <w:bCs/>
          <w:color w:val="1B2A4A"/>
          <w:sz w:val="44"/>
          <w:szCs w:val="44"/>
        </w:rPr>
        <w:t xml:space="preserve">MANUAL DE MARCA</w:t>
      </w:r>
    </w:p>
    <w:p>
      <w:pPr>
        <w:spacing w:before="120"/>
        <w:jc w:val="center"/>
      </w:pPr>
      <w:r>
        <w:rPr>
          <w:color w:val="4A5568"/>
          <w:sz w:val="24"/>
          <w:szCs w:val="24"/>
        </w:rPr>
        <w:t xml:space="preserve">Fase 2 — Logotipo, Símbolo e Aplicações Visuais</w:t>
      </w:r>
    </w:p>
    <w:p>
      <w:pPr>
        <w:spacing w:before="800"/>
        <w:jc w:val="center"/>
      </w:pPr>
      <w:r>
        <w:rPr>
          <w:i/>
          <w:iCs/>
          <w:color w:val="4A5568"/>
          <w:sz w:val="20"/>
          <w:szCs w:val="20"/>
        </w:rPr>
        <w:t xml:space="preserve">Documento complementar ao Estudo de Marca (Fase 1)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color w:val="1B2A4A"/>
        </w:rPr>
        <w:t xml:space="preserve">1. O Símbolo</w:t>
      </w:r>
    </w:p>
    <w:p>
      <w:pPr>
        <w:spacing w:after="160"/>
      </w:pPr>
      <w:r>
        <w:t xml:space="preserve">O símbolo do Constela Edu nasce diretamente do nome e do conceito de marca definidos na Fase 1: uma constelação formada por estrelas conectadas, onde cada aluno tem seu próprio brilho dentro do todo.</w:t>
      </w:r>
    </w:p>
    <w:p>
      <w:pPr>
        <w:spacing w:after="160"/>
      </w:pPr>
      <w:r>
        <w:t xml:space="preserve">A forma é construída como uma órbita aberta — um anel de pontos conectados que desenha, ao mesmo tempo, a letra C (de Constela) e o movimento circular de uma constelação em torno de um centro.</w:t>
      </w:r>
    </w:p>
    <w:p>
      <w:pPr>
        <w:spacing w:after="160"/>
      </w:pPr>
      <w:r>
        <w:t xml:space="preserve">No centro, um ponto em âmbar representa o aluno: a estrela individual que o sistema existe para reconhecer. Os pontos menores ao redor representam a turma, a escola e a rede — o conjunto que dá contexto e sentido a essa estrela central.</w:t>
      </w:r>
    </w:p>
    <w:p>
      <w:pPr>
        <w:spacing w:after="200" w:before="12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</w:rPr>
        <w:t xml:space="preserve">Racional de construção:</w:t>
      </w:r>
    </w:p>
    <w:p>
      <w:pPr>
        <w:spacing w:after="160"/>
      </w:pPr>
      <w:r>
        <w:rPr>
          <w:sz w:val="22"/>
          <w:szCs w:val="22"/>
        </w:rPr>
        <w:t xml:space="preserve">• A abertura do anel (a "boca" do C) mantém o símbolo legível como inicial da marca mesmo isolado, sem o texto.</w:t>
      </w:r>
    </w:p>
    <w:p>
      <w:pPr>
        <w:spacing w:after="160"/>
      </w:pPr>
      <w:r>
        <w:rPr>
          <w:sz w:val="22"/>
          <w:szCs w:val="22"/>
        </w:rPr>
        <w:t xml:space="preserve">• O traço arredondado (sem pontas retas) reforça a personalidade acolhedora definida no estudo de marca.</w:t>
      </w:r>
    </w:p>
    <w:p>
      <w:pPr>
        <w:spacing w:after="160"/>
      </w:pPr>
      <w:r>
        <w:rPr>
          <w:sz w:val="22"/>
          <w:szCs w:val="22"/>
        </w:rPr>
        <w:t xml:space="preserve">• O ponto central em âmbar é o único elemento de cor quente do símbolo — reservado propositalmente, para que a cor de conquista mantenha força simbólica.</w:t>
      </w:r>
    </w:p>
    <w:p>
      <w:pPr>
        <w:pStyle w:val="Heading1"/>
        <w:pageBreakBefore/>
      </w:pPr>
      <w:r>
        <w:rPr>
          <w:color w:val="1B2A4A"/>
        </w:rPr>
        <w:t xml:space="preserve">2. Versões do Logotipo</w:t>
      </w:r>
    </w:p>
    <w:p>
      <w:pPr>
        <w:spacing w:after="160"/>
      </w:pPr>
      <w:r>
        <w:t xml:space="preserve">Logotipo horizontal — versão principal, para uso em cabeçalhos, documentos e materiais institucionais.</w:t>
      </w:r>
    </w:p>
    <w:p>
      <w:pPr>
        <w:spacing w:after="200" w:before="120"/>
        <w:jc w:val="center"/>
      </w:pPr>
      <w:r>
        <w:drawing>
          <wp:inline distT="0" distB="0" distL="0" distR="0">
            <wp:extent cx="381000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Versão para fundos escuros (dark mode, apresentações, painel público em modo TV):</w:t>
      </w:r>
    </w:p>
    <w:p>
      <w:pPr>
        <w:spacing w:after="200" w:before="120"/>
        <w:jc w:val="center"/>
      </w:pPr>
      <w:r>
        <w:drawing>
          <wp:inline distT="0" distB="0" distL="0" distR="0">
            <wp:extent cx="381000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Logotipo empilhado — para formatos quadrados ou verticais (redes sociais, certificados, capas):</w:t>
      </w:r>
    </w:p>
    <w:p>
      <w:pPr>
        <w:spacing w:after="200" w:before="120"/>
        <w:jc w:val="center"/>
      </w:pPr>
      <w:r>
        <w:drawing>
          <wp:inline distT="0" distB="0" distL="0" distR="0">
            <wp:extent cx="17145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Versão monocromática — para aplicações de uma só cor (carimbos, gravações, materiais impressos em P&amp;B, marca d'água):</w:t>
      </w:r>
    </w:p>
    <w:p>
      <w:pPr>
        <w:spacing w:after="200" w:before="120"/>
        <w:jc w:val="center"/>
      </w:pPr>
      <w:r>
        <w:drawing>
          <wp:inline distT="0" distB="0" distL="0" distR="0">
            <wp:extent cx="123825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rPr>
          <w:color w:val="1B2A4A"/>
        </w:rPr>
        <w:t xml:space="preserve">3. Área de Proteção e Tamanho Mínimo</w:t>
      </w:r>
    </w:p>
    <w:p>
      <w:pPr>
        <w:spacing w:after="160"/>
      </w:pPr>
      <w:r>
        <w:t xml:space="preserve">Para preservar a legibilidade do símbolo, reserve sempre uma área de proteção livre de outros elementos (textos, imagens, bordas) equivalente ao raio do círculo central âmbar (X), em todos os lados do símbolo.</w:t>
      </w:r>
    </w:p>
    <w:p>
      <w:pPr>
        <w:spacing w:after="200" w:before="120"/>
        <w:jc w:val="center"/>
      </w:pPr>
      <w:r>
        <w:drawing>
          <wp:inline distT="0" distB="0" distL="0" distR="0">
            <wp:extent cx="3048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</w:rPr>
        <w:t xml:space="preserve">Tamanho mínimo recomendado:</w:t>
      </w:r>
    </w:p>
    <w:p>
      <w:pPr>
        <w:spacing w:after="160"/>
      </w:pPr>
      <w:r>
        <w:rPr>
          <w:sz w:val="22"/>
          <w:szCs w:val="22"/>
        </w:rPr>
        <w:t xml:space="preserve">• Símbolo isolado (favicon, ícone de app, avatar): 32px de altura em telas digitais, ou 8mm em impressos.</w:t>
      </w:r>
    </w:p>
    <w:p>
      <w:pPr>
        <w:spacing w:after="160"/>
      </w:pPr>
      <w:r>
        <w:rPr>
          <w:sz w:val="22"/>
          <w:szCs w:val="22"/>
        </w:rPr>
        <w:t xml:space="preserve">• Logotipo horizontal completo: 120px de largura em telas digitais, ou 30mm em impressos.</w:t>
      </w:r>
    </w:p>
    <w:p>
      <w:pPr>
        <w:spacing w:after="160"/>
      </w:pPr>
      <w:r>
        <w:t xml:space="preserve">Abaixo desses limites, o símbolo deve ser usado sozinho, sem o texto "constela edu", pois a legibilidade da tipografia se perde antes da legibilidade do símbolo.</w:t>
      </w:r>
    </w:p>
    <w:p>
      <w:pPr>
        <w:pStyle w:val="Heading1"/>
        <w:pageBreakBefore/>
      </w:pPr>
      <w:r>
        <w:rPr>
          <w:color w:val="1B2A4A"/>
        </w:rPr>
        <w:t xml:space="preserve">4. Ícone de Aplicativo e Favicon</w:t>
      </w:r>
    </w:p>
    <w:p>
      <w:pPr>
        <w:spacing w:after="160"/>
      </w:pPr>
      <w:r>
        <w:t xml:space="preserve">Para favicon, ícone de aplicativo (PWA/mobile) e avatares, usar a versão com fundo navy sólido, anel branco e centro âmbar — garante contraste e reconhecimento mesmo em miniatura.</w:t>
      </w:r>
    </w:p>
    <w:p>
      <w:pPr>
        <w:spacing w:after="200" w:before="120"/>
        <w:jc w:val="center"/>
      </w:pPr>
      <w:r>
        <w:drawing>
          <wp:inline distT="0" distB="0" distL="0" distR="0">
            <wp:extent cx="13335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Arquivos exportados nos tamanhos: 16×16, 32×32, 48×48, 64×64, 128×128, 192×192 e 512×512 px (ver pacote de arquivos anexo).</w:t>
      </w:r>
    </w:p>
    <w:p>
      <w:pPr>
        <w:pStyle w:val="Heading1"/>
        <w:pageBreakBefore/>
      </w:pPr>
      <w:r>
        <w:rPr>
          <w:color w:val="1B2A4A"/>
        </w:rPr>
        <w:t xml:space="preserve">5. Usos Incorretos</w:t>
      </w:r>
    </w:p>
    <w:p>
      <w:pPr>
        <w:spacing w:after="160"/>
      </w:pPr>
      <w:r>
        <w:t xml:space="preserve">O símbolo perde força de marca quando é alterado fora destas diretrizes. Os exemplos abaixo nunca devem ocorrer:</w:t>
      </w:r>
    </w:p>
    <w:p>
      <w:pPr>
        <w:spacing w:after="200" w:before="120"/>
        <w:jc w:val="center"/>
      </w:pPr>
      <w:r>
        <w:drawing>
          <wp:inline distT="0" distB="0" distL="0" distR="0">
            <wp:extent cx="4381500" cy="4781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rPr>
          <w:color w:val="1B2A4A"/>
        </w:rPr>
        <w:t xml:space="preserve">6. Paleta de Cores</w:t>
      </w:r>
    </w:p>
    <w:p>
      <w:pPr>
        <w:spacing w:after="160"/>
      </w:pPr>
      <w:r>
        <w:t xml:space="preserve">Paleta aprovada na Fase 1, reproduzida aqui como referência rápida de aplicação junto ao logotipo:</w:t>
      </w:r>
    </w:p>
    <w:p>
      <w:pPr>
        <w:spacing w:after="200" w:before="120"/>
        <w:jc w:val="center"/>
      </w:pPr>
      <w:r>
        <w:drawing>
          <wp:inline distT="0" distB="0" distL="0" distR="0">
            <wp:extent cx="4381500" cy="587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rPr>
          <w:color w:val="1B2A4A"/>
        </w:rPr>
        <w:t xml:space="preserve">7. Tipografia</w:t>
      </w:r>
    </w:p>
    <w:p>
      <w:pPr>
        <w:spacing w:after="160"/>
      </w:pPr>
      <w:r>
        <w:t xml:space="preserve">Fonte de interface recomendada para produção: Inter ou Manrope (ver justificativa completa na Fase 1). A especificação abaixo usa uma fonte geométrica equivalente disponível neste ambiente para fins de demonstração de hierarquia:</w:t>
      </w:r>
    </w:p>
    <w:p>
      <w:pPr>
        <w:spacing w:after="200" w:before="120"/>
        <w:jc w:val="center"/>
      </w:pPr>
      <w:r>
        <w:drawing>
          <wp:inline distT="0" distB="0" distL="0" distR="0">
            <wp:extent cx="4381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rPr>
          <w:color w:val="1B2A4A"/>
        </w:rPr>
        <w:t xml:space="preserve">8. Encerramento</w:t>
      </w:r>
    </w:p>
    <w:p>
      <w:pPr>
        <w:spacing w:after="160"/>
      </w:pPr>
      <w:r>
        <w:t xml:space="preserve">Este manual consolida a Fase 2 do projeto de marca do Constela Edu: símbolo, logotipo em suas variações, área de proteção, tamanho mínimo, ícone de aplicativo, usos incorretos e a aplicação da paleta e tipografia definidas na Fase 1.</w:t>
      </w:r>
    </w:p>
    <w:p>
      <w:pPr>
        <w:spacing w:after="160"/>
      </w:pPr>
      <w:r>
        <w:t xml:space="preserve">Todos os arquivos-fonte (SVG vetorial, editável, e PNG em alta resolução) estão disponíveis no pacote de entrega anexo a esta conversa.</w:t>
      </w:r>
    </w:p>
    <w:p>
      <w:pPr>
        <w:spacing w:after="160"/>
      </w:pPr>
      <w:r>
        <w:t xml:space="preserve">Próximos passos sugeridos: aplicar a identidade nas telas reais do sistema (dashboard, painel público, perfil do aluno) e produzir o guia de componentes de interface (cards, botões, badges de conquista) com base nesta fundação visual.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1c8b31a2c84048948db2f97c43306b0a05ebbc5.png"/><Relationship Id="rId8" Type="http://schemas.openxmlformats.org/officeDocument/2006/relationships/image" Target="media/70cf8d696d4b4fe58796eada0190ee2ae3974771.png"/><Relationship Id="rId9" Type="http://schemas.openxmlformats.org/officeDocument/2006/relationships/image" Target="media/f8676a885947f238d264757f110d64ae45f15215.png"/><Relationship Id="rId10" Type="http://schemas.openxmlformats.org/officeDocument/2006/relationships/image" Target="media/3248fb5d2840b1e66c8cac80959e049747facc88.png"/><Relationship Id="rId11" Type="http://schemas.openxmlformats.org/officeDocument/2006/relationships/image" Target="media/ba501ed0263a77dbd77f22f7c82977d307ae6b79.png"/><Relationship Id="rId12" Type="http://schemas.openxmlformats.org/officeDocument/2006/relationships/image" Target="media/1454dc730213acaef84d871c71248acf7b2fa4de.png"/><Relationship Id="rId13" Type="http://schemas.openxmlformats.org/officeDocument/2006/relationships/image" Target="media/0aee44d77ed02d620d962470c4e9aed27fb7e891.png"/><Relationship Id="rId14" Type="http://schemas.openxmlformats.org/officeDocument/2006/relationships/image" Target="media/1d8d774e5c29d0c5419eae5c90be1970ffd60f15.png"/><Relationship Id="rId15" Type="http://schemas.openxmlformats.org/officeDocument/2006/relationships/image" Target="media/b17cff4adadb7cd8d8bd3533699029440363ec43.png"/><Relationship Id="rId16" Type="http://schemas.openxmlformats.org/officeDocument/2006/relationships/image" Target="media/910690df5d43dcd13e4ed0624764fda387db2793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2026-07-02T01:36:41.651Z</dcterms:created>
  <dcterms:modified xsi:type="dcterms:W3CDTF">2026-07-02T01:36:41.651Z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