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Mining the Web: Transforming Customer Data into Customer Value. Gordon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S. Linoff, Michael J. A. Berry. 52.00 €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Ouvrage de référence sur le traitement des données web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Mining et statistique décisionnelle , L'intelligence des données.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Stéphane Tufféry. 62 €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Plus généraliste, état de l’art très actuel, avec une mise à jour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récente sur le webmining et le text-mining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« Modélisation prédictive et apprentissage statistique avec R » Par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Stéphane Tufféry. 45 €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(Plus optionnel, sur l’implémentation informatique des points traités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dans le précédent)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Mining Techniques: For Marketing, Sales, and Customer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Relationship Management, 3rd Edition. Gordon S. Linoff, Michael J. 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Berry 40 €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autre « état de l’art » beaucoup plus étendu, avec une vision très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anglo-saxonne, donc beaucoup plus orienté marketing, intelligence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client, analyses de liens entre individus (types réseaux sociaux),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Ludovic Lebart, André Salem : Statistique textuelle. 25 €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Ouvrage ancien (94) de référence sur tout ce qui a trait à l’analyse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sémantique et textuelle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