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b/>
          <w:bCs/>
          <w:color w:val="1F6F4A"/>
          <w:sz w:val="56"/>
          <w:szCs w:val="56"/>
        </w:rPr>
        <w:t xml:space="preserve">Mederti</w:t>
      </w:r>
    </w:p>
    <w:p>
      <w:pPr>
        <w:spacing w:after="60"/>
      </w:pPr>
      <w:r>
        <w:rPr>
          <w:b/>
          <w:bCs/>
          <w:color w:val="12211B"/>
          <w:sz w:val="40"/>
          <w:szCs w:val="40"/>
        </w:rPr>
        <w:t xml:space="preserve">Data Asset Inventory</w:t>
      </w:r>
    </w:p>
    <w:p>
      <w:pPr>
        <w:spacing w:after="360"/>
      </w:pPr>
      <w:r>
        <w:rPr>
          <w:color w:val="5B6660"/>
          <w:sz w:val="24"/>
          <w:szCs w:val="24"/>
        </w:rPr>
        <w:t xml:space="preserve">What we hold today — a reference for source mapping</w:t>
      </w:r>
    </w:p>
    <w:p>
      <w:pPr>
        <w:pBdr>
          <w:top w:val="single" w:color="1F6F4A" w:sz="6" w:space="6"/>
        </w:pBdr>
        <w:spacing w:after="120" w:before="120"/>
      </w:pPr>
    </w:p>
    <w:p>
      <w:pPr>
        <w:spacing w:after="120"/>
      </w:pPr>
      <w:r>
        <w:rPr>
          <w:b/>
          <w:bCs/>
        </w:rPr>
        <w:t xml:space="preserve">Prepared for: </w:t>
      </w:r>
      <w:r>
        <w:t xml:space="preserve">Chief Data Officer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Inventory of live, in-production data assets and sources to inform forward source-mapping and prioritisation.</w:t>
      </w:r>
    </w:p>
    <w:p>
      <w:pPr>
        <w:spacing w:after="120"/>
      </w:pPr>
      <w:r>
        <w:rPr>
          <w:b/>
          <w:bCs/>
        </w:rPr>
        <w:t xml:space="preserve">Scope note: </w:t>
      </w:r>
      <w:r>
        <w:t xml:space="preserve">All counts in this document are live production figures queried on 3 June 2026. Built-but-unshipped scrapers and pending migrations are excluded from headline numbers and instead flagged explicitly in </w:t>
      </w:r>
      <w:r>
        <w:rPr>
          <w:i/>
          <w:iCs/>
        </w:rPr>
        <w:t xml:space="preserve">Section 9 (Coverage Gaps)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Executive Summary</w:t>
      </w:r>
    </w:p>
    <w:p>
      <w:pPr>
        <w:spacing w:after="120"/>
      </w:pPr>
      <w:r>
        <w:t xml:space="preserve">Mederti operates a continuously-refreshed database of global drug-shortage and recall intelligence, enriched with pharmaceutical reference data and a supply-side concentration layer. The platform ingests from official regulators across 20+ jurisdictions on a daily cron, normalises everything to canonical drug identities, and layers causal and macro-signal context on top.</w:t>
      </w:r>
    </w:p>
    <w:p>
      <w:pPr>
        <w:spacing w:after="120"/>
      </w:pPr>
      <w:r>
        <w:t xml:space="preserve">At a glance, the live database holds: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211B"/>
                <w:sz w:val="19"/>
                <w:szCs w:val="19"/>
              </w:rPr>
              <w:t xml:space="preserve">Asset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211B"/>
                <w:sz w:val="19"/>
                <w:szCs w:val="19"/>
              </w:rPr>
              <w:t xml:space="preserve">Live count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211B"/>
                <w:sz w:val="19"/>
                <w:szCs w:val="19"/>
              </w:rPr>
              <w:t xml:space="preserve">What it 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Shortage events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37,065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Structured shortage records (28,418 active) across 20+ countries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Recall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24,293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Product recalls/withdrawals, 99% linked to a canonical drug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Recall–shortage links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78,897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Causal links between recalls and downstream shortages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Canonical drugs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17,835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Deduplicated molecule/product master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Brand / product catalogue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160,977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Brand &amp; pack-level records rolled up to canonical drugs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API suppliers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14,009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Active-ingredient manufacturer/site signal (FDA DMF + WHO PQ)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Macro signal sources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134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Catalogued early-warning / macro / logistics feeds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Registered data sources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57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Regulator &amp; reference feeds (41 currently active)</w:t>
            </w:r>
          </w:p>
        </w:tc>
      </w:tr>
    </w:tbl>
    <w:p>
      <w:pPr>
        <w:spacing w:after="200" w:before="40"/>
      </w:pPr>
      <w:r>
        <w:rPr>
          <w:i/>
          <w:iCs/>
          <w:color w:val="5B6660"/>
          <w:sz w:val="17"/>
          <w:szCs w:val="17"/>
        </w:rPr>
        <w:t xml:space="preserve">Table 1. Headline live data volumes (production, 3 June 2026).</w:t>
      </w:r>
    </w:p>
    <w:p>
      <w:pPr>
        <w:spacing w:after="120"/>
      </w:pPr>
      <w:r>
        <w:t xml:space="preserve">The three structural strengths a CDO should note: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Breadth of regulator coverage </w:t>
      </w:r>
      <w:r>
        <w:t xml:space="preserve">— daily ingestion from the major shortage-reporting agencies (FDA, EMA, TGA, MHRA, Health Canada, Swissmedic, PMDA, plus ~15 EU national agencies).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Identity resolution </w:t>
      </w:r>
      <w:r>
        <w:t xml:space="preserve">— 160,977 brand/pack records collapse to 17,835 canonical drugs, so a search for a brand rolls up to molecule-level shortage truth.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Causal + supply context </w:t>
      </w:r>
      <w:r>
        <w:t xml:space="preserve">— recall→shortage links and a 14k-row API-supplier concentration layer turn raw events into forward signal, not just a feed.</w:t>
      </w:r>
    </w:p>
    <w:p>
      <w:pPr>
        <w:pStyle w:val="Heading1"/>
      </w:pPr>
      <w:r>
        <w:t xml:space="preserve">2. Data Domains</w:t>
      </w:r>
    </w:p>
    <w:p>
      <w:pPr>
        <w:spacing w:after="120"/>
      </w:pPr>
      <w:r>
        <w:t xml:space="preserve">The schema (49 migrations) organises into six domains. Counts are live.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2360"/>
        <w:gridCol w:w="17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211B"/>
                <w:sz w:val="19"/>
                <w:szCs w:val="19"/>
              </w:rPr>
              <w:t xml:space="preserve">Domain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211B"/>
                <w:sz w:val="19"/>
                <w:szCs w:val="19"/>
              </w:rPr>
              <w:t xml:space="preserve">Core tables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211B"/>
                <w:sz w:val="19"/>
                <w:szCs w:val="19"/>
              </w:rPr>
              <w:t xml:space="preserve">Live rows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211B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Shortage core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shortage_events, shortage_status_log, live_status_layer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37,065 events / 56,500 status logs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Mature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Recall core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recalls, recall_shortage_links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24,293 / 78,897 links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Mature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Drug intelligence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drugs, drug_catalogue, drug_synonyms, atc_codes, drug_rxnorm, drug_external_ids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17,835 / 160,977 / 318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Mature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Supply intelligence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api_suppliers, manufacturers, supplier_inventory, supply_intelligence_layer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14,009 / 5 / 28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API layer strong; finished-dose thin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Macro / content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intelligence_sources, intelligence_articles, ai_insights_cache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134 catalogued sources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Catalogue mature; articles building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Ops &amp; audit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data_sources, raw_scrapes, audit_logs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57 / 2,556 / 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Operational</w:t>
            </w:r>
          </w:p>
        </w:tc>
      </w:tr>
    </w:tbl>
    <w:p>
      <w:pPr>
        <w:spacing w:after="200" w:before="40"/>
      </w:pPr>
      <w:r>
        <w:rPr>
          <w:i/>
          <w:iCs/>
          <w:color w:val="5B6660"/>
          <w:sz w:val="17"/>
          <w:szCs w:val="17"/>
        </w:rPr>
        <w:t xml:space="preserve">Table 2. Data domains and live volumes.</w:t>
      </w:r>
    </w:p>
    <w:p>
      <w:pPr>
        <w:pStyle w:val="Heading1"/>
      </w:pPr>
      <w:r>
        <w:t xml:space="preserve">3. Source Inventory — Regulatory Feeds</w:t>
      </w:r>
    </w:p>
    <w:p>
      <w:pPr>
        <w:spacing w:after="120"/>
      </w:pPr>
      <w:r>
        <w:t xml:space="preserve">Shortage and recall data is sourced exclusively from official national/supranational regulators, ingested daily on a staggered cron (19:00–07:00 UTC). Each source dedupes via an MD5 shortage key, so repeated runs are idempotent. The table below lists the regulator feeds that are live and producing data today.</w:t>
      </w:r>
    </w:p>
    <w:p>
      <w:pPr>
        <w:pStyle w:val="Heading2"/>
      </w:pPr>
      <w:r>
        <w:t xml:space="preserve">3.1 Shortage feeds (live, daily)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211B"/>
                <w:sz w:val="19"/>
                <w:szCs w:val="19"/>
              </w:rPr>
              <w:t xml:space="preserve">Region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211B"/>
                <w:sz w:val="19"/>
                <w:szCs w:val="19"/>
              </w:rPr>
              <w:t xml:space="preserve">Agencies live in production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North America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FDA (US), Health Canada (CA)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UK &amp; Ireland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MHRA (UK), HPRA (IE)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EU — supranational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EMA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EU — national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BfArM (DE), ANSM (FR), AIFA (IT), AEMPS (ES), CBG-MEB (NL), DKMA (DK), FIMEA (FI), Läkemedelsverket (SE), SUKL (CZ), OGYEI (HU), Swissmedic (CH), NoMA (NO), AGES (AT)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EU — newer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Greece (EOF), Portugal (INFARMED), Belgium (FAMHP), Poland (MZ)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Asia-Pacific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TGA (AU), HSA (SG), Medsafe + PHARMAC (NZ), PMDA (JP), MFDS (KR), Malaysia (NPRA)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Latin America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ANVISA (BR), COFEPRIS (MX), Argentina (ANMAT)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Africa &amp; Middle East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SAHPRA (ZA), NAFDAC (NG), SFDA (SA), UAE (MOHAP)</w:t>
            </w:r>
          </w:p>
        </w:tc>
      </w:tr>
    </w:tbl>
    <w:p>
      <w:pPr>
        <w:spacing w:after="200" w:before="40"/>
      </w:pPr>
      <w:r>
        <w:rPr>
          <w:i/>
          <w:iCs/>
          <w:color w:val="5B6660"/>
          <w:sz w:val="17"/>
          <w:szCs w:val="17"/>
        </w:rPr>
        <w:t xml:space="preserve">Table 3. Regulatory shortage feeds wired into the daily cron.</w:t>
      </w:r>
    </w:p>
    <w:p>
      <w:pPr>
        <w:pStyle w:val="Heading2"/>
      </w:pPr>
      <w:r>
        <w:t xml:space="preserve">3.2 Recall feeds (live, daily)</w:t>
      </w:r>
    </w:p>
    <w:p>
      <w:pPr>
        <w:spacing w:after="120"/>
      </w:pPr>
      <w:r>
        <w:t xml:space="preserve">Recall ingestion runs on the same cadence: TGA, FDA (enforcement + MedWatch + Drugs@FDA), Health Canada, EMA, MHRA, AIFA, ANSM, AEMPS, HSA, Medsafe. A dedicated recall_linker populates the 78,897 recall→shortage causal links.</w:t>
      </w:r>
    </w:p>
    <w:p>
      <w:pPr>
        <w:pStyle w:val="Heading1"/>
      </w:pPr>
      <w:r>
        <w:t xml:space="preserve">4. Geographic Coverage — Shortages</w:t>
      </w:r>
    </w:p>
    <w:p>
      <w:pPr>
        <w:spacing w:after="120"/>
      </w:pPr>
      <w:r>
        <w:t xml:space="preserve">Live shortage-event counts by reporting country. This is the depth dimension a CDO weighs against breadth when prioritising new sources.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80"/>
        <w:gridCol w:w="2900"/>
        <w:gridCol w:w="178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211B"/>
                <w:sz w:val="19"/>
                <w:szCs w:val="19"/>
              </w:rPr>
              <w:t xml:space="preserve">Country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211B"/>
                <w:sz w:val="19"/>
                <w:szCs w:val="19"/>
              </w:rPr>
              <w:t xml:space="preserve">Events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211B"/>
                <w:sz w:val="19"/>
                <w:szCs w:val="19"/>
              </w:rPr>
              <w:t xml:space="preserve">Country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211B"/>
                <w:sz w:val="19"/>
                <w:szCs w:val="19"/>
              </w:rPr>
              <w:t xml:space="preserve">Events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Switzerland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5,930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Norway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973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Japan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5,672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Ireland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778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United States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4,469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Germany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740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Italy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4,422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France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575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Canada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3,233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Greece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440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Spain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3,172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Singapore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321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Finland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1,815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New Zealand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290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Australia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1,707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Malaysia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226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Belgium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1,014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United Kingdom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80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Netherlands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1,010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Portugal / UAE / Slovakia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64 / 20 / 13</w:t>
            </w:r>
          </w:p>
        </w:tc>
      </w:tr>
    </w:tbl>
    <w:p>
      <w:pPr>
        <w:spacing w:after="200" w:before="40"/>
      </w:pPr>
      <w:r>
        <w:rPr>
          <w:i/>
          <w:iCs/>
          <w:color w:val="5B6660"/>
          <w:sz w:val="17"/>
          <w:szCs w:val="17"/>
        </w:rPr>
        <w:t xml:space="preserve">Table 4. Live shortage events by reporting country (top jurisdictions).</w:t>
      </w:r>
    </w:p>
    <w:p>
      <w:pPr>
        <w:spacing w:after="120"/>
      </w:pPr>
      <w:r>
        <w:t xml:space="preserve">Status mix across all events: </w:t>
      </w:r>
      <w:r>
        <w:rPr>
          <w:b/>
          <w:bCs/>
        </w:rPr>
        <w:t xml:space="preserve">28,418 active</w:t>
      </w:r>
      <w:r>
        <w:t xml:space="preserve">, 6,439 resolved, 2,204 anticipated. </w:t>
      </w:r>
      <w:r>
        <w:rPr>
          <w:b/>
          <w:bCs/>
        </w:rPr>
        <w:t xml:space="preserve">1,589</w:t>
      </w:r>
      <w:r>
        <w:t xml:space="preserve"> events are flagged </w:t>
      </w:r>
      <w:r>
        <w:rPr>
          <w:i/>
          <w:iCs/>
        </w:rPr>
        <w:t xml:space="preserve">synthetic</w:t>
      </w:r>
      <w:r>
        <w:t xml:space="preserve"> (recall-derived signal, not a primary regulator notice) and are kept distinct so they never inflate the genuine shortage picture.</w:t>
      </w:r>
    </w:p>
    <w:p>
      <w:pPr>
        <w:pStyle w:val="Heading1"/>
      </w:pPr>
      <w:r>
        <w:t xml:space="preserve">5. Geographic Coverage — Recalls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80"/>
        <w:gridCol w:w="2900"/>
        <w:gridCol w:w="178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211B"/>
                <w:sz w:val="19"/>
                <w:szCs w:val="19"/>
              </w:rPr>
              <w:t xml:space="preserve">Jurisdiction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211B"/>
                <w:sz w:val="19"/>
                <w:szCs w:val="19"/>
              </w:rPr>
              <w:t xml:space="preserve">Recalls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211B"/>
                <w:sz w:val="19"/>
                <w:szCs w:val="19"/>
              </w:rPr>
              <w:t xml:space="preserve">Jurisdiction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211B"/>
                <w:sz w:val="19"/>
                <w:szCs w:val="19"/>
              </w:rPr>
              <w:t xml:space="preserve">Recalls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United States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17,689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United Kingdom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391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Canada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4,597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EU (EMA)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369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Italy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460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New Zealand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186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Australia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390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France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171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/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Spain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40</w:t>
            </w:r>
          </w:p>
        </w:tc>
      </w:tr>
    </w:tbl>
    <w:p>
      <w:pPr>
        <w:spacing w:after="200" w:before="40"/>
      </w:pPr>
      <w:r>
        <w:rPr>
          <w:i/>
          <w:iCs/>
          <w:color w:val="5B6660"/>
          <w:sz w:val="17"/>
          <w:szCs w:val="17"/>
        </w:rPr>
        <w:t xml:space="preserve">Table 5. Live recall records by jurisdiction. 24,133 of 24,293 (99%) are linked to a canonical drug.</w:t>
      </w:r>
    </w:p>
    <w:p>
      <w:pPr>
        <w:pStyle w:val="Heading1"/>
      </w:pPr>
      <w:r>
        <w:t xml:space="preserve">6. Reference &amp; Enrichment Layer</w:t>
      </w:r>
    </w:p>
    <w:p>
      <w:pPr>
        <w:spacing w:after="120"/>
      </w:pPr>
      <w:r>
        <w:t xml:space="preserve">Raw regulator notices are normalised and enriched against authoritative pharmaceutical reference datasets, loaded by 16 importers. This layer is what lets a brand name, a salt form, or an accented INN all resolve to one molecule.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211B"/>
                <w:sz w:val="19"/>
                <w:szCs w:val="19"/>
              </w:rPr>
              <w:t xml:space="preserve">Reference set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211B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WHO ATC / DDD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Therapeutic classification + defined daily dose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RxNorm (NLM)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US clinical drug nomenclature &amp; ingredient mapping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UNII (FDA)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Unique ingredient identifiers for salt-form resolution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SNOMED CT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Clinical terminology cross-walk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EMA EPAR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European authorisation metadata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OECD pharma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Macro pharmaceutical market reference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PharmaCompass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Supplier / API market reference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INN resolution + substance resolver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Salt-stripping &amp; molecule identity (brand→generic rollup)</w:t>
            </w:r>
          </w:p>
        </w:tc>
      </w:tr>
    </w:tbl>
    <w:p>
      <w:pPr>
        <w:spacing w:after="200" w:before="40"/>
      </w:pPr>
      <w:r>
        <w:rPr>
          <w:i/>
          <w:iCs/>
          <w:color w:val="5B6660"/>
          <w:sz w:val="17"/>
          <w:szCs w:val="17"/>
        </w:rPr>
        <w:t xml:space="preserve">Table 6. Reference datasets feeding identity resolution and enrichment.</w:t>
      </w:r>
    </w:p>
    <w:p>
      <w:pPr>
        <w:pStyle w:val="Heading1"/>
      </w:pPr>
      <w:r>
        <w:t xml:space="preserve">7. Supply-Side Concentration Layer</w:t>
      </w:r>
    </w:p>
    <w:p>
      <w:pPr>
        <w:spacing w:after="120"/>
      </w:pPr>
      <w:r>
        <w:t xml:space="preserve">The </w:t>
      </w:r>
      <w:r>
        <w:rPr>
          <w:rFonts w:ascii="Courier New" w:cs="Courier New" w:eastAsia="Courier New" w:hAnsi="Courier New"/>
          <w:b/>
          <w:bCs/>
        </w:rPr>
        <w:t xml:space="preserve">api_suppliers</w:t>
      </w:r>
      <w:r>
        <w:t xml:space="preserve"> table (14,009 rows) is Mederti’s answer to the single most predictive shortage driver: active-ingredient supply concentration. It is built from the FDA Drug Master File, enriched with DECRS country-of-manufacture data, and badged against the WHO Prequalification list. It replicates and extends the signal behind the Johns Hopkins API-concentration dashboard.</w:t>
      </w:r>
    </w:p>
    <w:p>
      <w:pPr>
        <w:spacing w:after="120"/>
      </w:pPr>
      <w:r>
        <w:t xml:space="preserve">An indicative country distribution (sampled) shows the concentration risk plainly — the active-ingredient base skews heavily to a small number of origins, which is exactly the vulnerability a forward model needs: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China dominates the sampled API-supplier base, with Canada, Austria, Belgium, Argentina and Brazil forming a long tail.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Refreshed </w:t>
      </w:r>
      <w:r>
        <w:rPr>
          <w:b/>
          <w:bCs/>
        </w:rPr>
        <w:t xml:space="preserve">quarterly</w:t>
      </w:r>
      <w:r>
        <w:t xml:space="preserve"> (Jan/Apr/Jul/Oct), alongside FDA DECRS and WHO PQ.</w:t>
      </w:r>
    </w:p>
    <w:p>
      <w:pPr>
        <w:spacing w:after="120"/>
      </w:pPr>
      <w:r>
        <w:t xml:space="preserve">Finished-dose manufacturer mastering (</w:t>
      </w:r>
      <w:r>
        <w:rPr>
          <w:rFonts w:ascii="Courier New" w:cs="Courier New" w:eastAsia="Courier New" w:hAnsi="Courier New"/>
        </w:rPr>
        <w:t xml:space="preserve">manufacturers</w:t>
      </w:r>
      <w:r>
        <w:t xml:space="preserve">, 5 rows) and the supplier marketplace (</w:t>
      </w:r>
      <w:r>
        <w:rPr>
          <w:rFonts w:ascii="Courier New" w:cs="Courier New" w:eastAsia="Courier New" w:hAnsi="Courier New"/>
        </w:rPr>
        <w:t xml:space="preserve">supplier_inventory</w:t>
      </w:r>
      <w:r>
        <w:t xml:space="preserve">, 28 rows) are early-stage by comparison — noted as a gap in Section 9.</w:t>
      </w:r>
    </w:p>
    <w:p>
      <w:pPr>
        <w:pStyle w:val="Heading1"/>
      </w:pPr>
      <w:r>
        <w:t xml:space="preserve">8. Macro Intelligence Catalogue</w:t>
      </w:r>
    </w:p>
    <w:p>
      <w:pPr>
        <w:spacing w:after="120"/>
      </w:pPr>
      <w:r>
        <w:t xml:space="preserve">Beyond primary regulator data, Mederti maintains a curated catalogue of 134 macro and early-warning sources, classified by signal type. This is the catalogue most directly relevant to forward source-mapping — it already encodes a view of where leading indicators live.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380"/>
        <w:gridCol w:w="3300"/>
        <w:gridCol w:w="13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211B"/>
                <w:sz w:val="19"/>
                <w:szCs w:val="19"/>
              </w:rPr>
              <w:t xml:space="preserve">Signal category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211B"/>
                <w:sz w:val="19"/>
                <w:szCs w:val="19"/>
              </w:rPr>
              <w:t xml:space="preserve">Sources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211B"/>
                <w:sz w:val="19"/>
                <w:szCs w:val="19"/>
              </w:rPr>
              <w:t xml:space="preserve">Signal category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211B"/>
                <w:sz w:val="19"/>
                <w:szCs w:val="19"/>
              </w:rPr>
              <w:t xml:space="preserve">Sources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Availability ground-truth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20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Pipeline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Logistics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15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Data portals / discovery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Macro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12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Sanctions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Procurement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11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Trade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Early warning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10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Utilization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External shocks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9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Corporate disclosure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Reference data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Public health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Pricing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Funding &amp; aid flows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2</w:t>
            </w:r>
          </w:p>
        </w:tc>
      </w:tr>
    </w:tbl>
    <w:p>
      <w:pPr>
        <w:spacing w:after="200" w:before="40"/>
      </w:pPr>
      <w:r>
        <w:rPr>
          <w:i/>
          <w:iCs/>
          <w:color w:val="5B6660"/>
          <w:sz w:val="17"/>
          <w:szCs w:val="17"/>
        </w:rPr>
        <w:t xml:space="preserve">Table 7. The 134-source macro catalogue by signal category.</w:t>
      </w:r>
    </w:p>
    <w:p>
      <w:pPr>
        <w:spacing w:after="120"/>
      </w:pPr>
      <w:r>
        <w:t xml:space="preserve">Source-priority guidance is encoded throughout: regulators rank above journals, above specialist trade press, above investigative and national press. This tiering is the scaffolding any new source should be slotted into.</w:t>
      </w:r>
    </w:p>
    <w:p>
      <w:pPr>
        <w:pStyle w:val="Heading1"/>
      </w:pPr>
      <w:r>
        <w:t xml:space="preserve">9. Coverage Gaps — Whitespace for Source Mapping</w:t>
      </w:r>
    </w:p>
    <w:p>
      <w:pPr>
        <w:spacing w:after="120"/>
      </w:pPr>
      <w:r>
        <w:t xml:space="preserve">The most actionable section for forward planning. These are dimensions where the platform is thin or absent today — candidate priorities for the CDO’s source map. All statements reflect live production state.</w:t>
      </w:r>
    </w:p>
    <w:p>
      <w:pPr>
        <w:pStyle w:val="Heading2"/>
      </w:pPr>
      <w:r>
        <w:t xml:space="preserve">9.1 Built but not yet producing data</w:t>
      </w:r>
    </w:p>
    <w:p>
      <w:pPr>
        <w:spacing w:after="120"/>
      </w:pPr>
      <w:r>
        <w:t xml:space="preserve">Scraper code exists for these major markets but they return zero live rows — the fastest coverage wins, since the engineering is largely done: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China (NMPA), India (CDSCO), Israel (MOH), Turkey (TITCK) — high market-size / geopolitical relevance.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Several recall counterparts (BfArM, HSA, Medsafe recalls) exist as files awaiting wiring.</w:t>
      </w:r>
    </w:p>
    <w:p>
      <w:pPr>
        <w:pStyle w:val="Heading2"/>
      </w:pPr>
      <w:r>
        <w:t xml:space="preserve">9.2 Empty or thin data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211B"/>
                <w:sz w:val="19"/>
                <w:szCs w:val="19"/>
              </w:rPr>
              <w:t xml:space="preserve">Dimension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211B"/>
                <w:sz w:val="19"/>
                <w:szCs w:val="19"/>
              </w:rPr>
              <w:t xml:space="preserve">Live state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2211B"/>
                <w:sz w:val="19"/>
                <w:szCs w:val="19"/>
              </w:rPr>
              <w:t xml:space="preserve">Implication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Drug pricing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0 rows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No price/tender signal — a whole forward axis is unpopulated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Demand / utilization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Schema present, sparse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Demand-spike precursors not yet captured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Finished-dose manufacturers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5 rows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Maker signal exists for APIs (14k) but not finished product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Supplier marketplace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28 rows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2211B"/>
                <w:sz w:val="19"/>
                <w:szCs w:val="19"/>
              </w:rPr>
              <w:t xml:space="preserve">Two-sided marketplace data is nascent</w:t>
            </w:r>
          </w:p>
        </w:tc>
      </w:tr>
    </w:tbl>
    <w:p>
      <w:pPr>
        <w:spacing w:after="200" w:before="40"/>
      </w:pPr>
      <w:r>
        <w:rPr>
          <w:i/>
          <w:iCs/>
          <w:color w:val="5B6660"/>
          <w:sz w:val="17"/>
          <w:szCs w:val="17"/>
        </w:rPr>
        <w:t xml:space="preserve">Table 8. Thin / empty dimensions and what they cost the forward model.</w:t>
      </w:r>
    </w:p>
    <w:p>
      <w:pPr>
        <w:pStyle w:val="Heading2"/>
      </w:pPr>
      <w:r>
        <w:t xml:space="preserve">9.3 Operational / trust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Source freshness</w:t>
      </w:r>
      <w:r>
        <w:t xml:space="preserve"> — last_scraped_at is only partially wired, so there is no per-source freshness signal exposed to users yet.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Scraper hosting</w:t>
      </w:r>
      <w:r>
        <w:t xml:space="preserve"> — ingestion still runs partly on local cron; a laptop-sleep is a data-gap risk until the Railway migration completes.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public methodology / freshness dashboard</w:t>
      </w:r>
      <w:r>
        <w:t xml:space="preserve"> — a credibility lever for institutional citation.</w:t>
      </w:r>
    </w:p>
    <w:p>
      <w:pPr>
        <w:pStyle w:val="Heading1"/>
      </w:pPr>
      <w:r>
        <w:t xml:space="preserve">10. Data Lineage &amp; Quality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Raw capture</w:t>
      </w:r>
      <w:r>
        <w:t xml:space="preserve"> — every scrape is retained in </w:t>
      </w:r>
      <w:r>
        <w:rPr>
          <w:rFonts w:ascii="Courier New" w:cs="Courier New" w:eastAsia="Courier New" w:hAnsi="Courier New"/>
        </w:rPr>
        <w:t xml:space="preserve">raw_scrapes</w:t>
      </w:r>
      <w:r>
        <w:t xml:space="preserve"> (2,556 rows) for replay/audit.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Idempotent ingestion</w:t>
      </w:r>
      <w:r>
        <w:t xml:space="preserve"> — MD5 shortage keys mean re-runs never duplicate 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Identity resolution</w:t>
      </w:r>
      <w:r>
        <w:t xml:space="preserve"> — 98% of shortage events and 99% of recalls resolve to a canonical drug.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Status history</w:t>
      </w:r>
      <w:r>
        <w:t xml:space="preserve"> — 56,500 status-log rows preserve the full lifecycle of each shortage (active → anticipated → resolved).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Synthetic flagging</w:t>
      </w:r>
      <w:r>
        <w:t xml:space="preserve"> — recall-derived signals are tagged so they never contaminate genuine regulator 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</w:t>
      </w:r>
      <w:r>
        <w:t xml:space="preserve"> — row-level security enabled; anonymous bulk-read access revoked; immutable audit log on mutations.</w:t>
      </w:r>
    </w:p>
    <w:p>
      <w:pPr>
        <w:pStyle w:val="Heading1"/>
      </w:pPr>
      <w:r>
        <w:t xml:space="preserve">11. Recommended Reading Order for Source Mapping</w:t>
      </w:r>
    </w:p>
    <w:p>
      <w:pPr>
        <w:spacing w:after="120"/>
      </w:pPr>
      <w:r>
        <w:t xml:space="preserve">Suggested sequence when overlaying a future-source map on this inventory:</w:t>
      </w:r>
    </w:p>
    <w:p>
      <w:pPr>
        <w:pStyle w:val="ListParagraph"/>
        <w:numPr>
          <w:ilvl w:val="0"/>
          <w:numId w:val="2"/>
        </w:numPr>
      </w:pPr>
      <w:r>
        <w:t xml:space="preserve">Start with Section 9.1 — the built-but-dark markets are the cheapest coverage gains.</w:t>
      </w:r>
    </w:p>
    <w:p>
      <w:pPr>
        <w:pStyle w:val="ListParagraph"/>
        <w:numPr>
          <w:ilvl w:val="0"/>
          <w:numId w:val="2"/>
        </w:numPr>
      </w:pPr>
      <w:r>
        <w:t xml:space="preserve">Then Section 9.2 — pricing and demand are the two missing forward axes most likely to lift predictive power.</w:t>
      </w:r>
    </w:p>
    <w:p>
      <w:pPr>
        <w:pStyle w:val="ListParagraph"/>
        <w:numPr>
          <w:ilvl w:val="0"/>
          <w:numId w:val="2"/>
        </w:numPr>
      </w:pPr>
      <w:r>
        <w:t xml:space="preserve">Cross-reference any candidate against the Section 8 tiering before adding it, to keep source provenance consistent.</w:t>
      </w:r>
    </w:p>
    <w:p>
      <w:pPr>
        <w:spacing w:after="120"/>
      </w:pPr>
      <w:r>
        <w:rPr>
          <w:i/>
          <w:iCs/>
          <w:color w:val="5B6660"/>
        </w:rPr>
        <w:t xml:space="preserve">All figures in this document can be regenerated on demand from the live database; the query set used is reproducible. 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B6660"/>
        <w:sz w:val="16"/>
        <w:szCs w:val="16"/>
      </w:rPr>
      <w:t xml:space="preserve">Generated 3 June 2026 · figures are live production counts</w:t>
    </w:r>
    <w:r>
      <w:rPr>
        <w:color w:val="5B6660"/>
        <w:sz w:val="16"/>
        <w:szCs w:val="16"/>
      </w:rPr>
      <w:t xml:space="preserve">	Page </w:t>
    </w:r>
    <w:r>
      <w:rPr>
        <w:color w:val="5B66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6"/>
      </w:pBdr>
      <w:tabs>
        <w:tab w:val="right" w:pos="9360"/>
      </w:tabs>
    </w:pPr>
    <w:r>
      <w:rPr>
        <w:b/>
        <w:bCs/>
        <w:color w:val="1F6F4A"/>
        <w:sz w:val="16"/>
        <w:szCs w:val="16"/>
      </w:rPr>
      <w:t xml:space="preserve">MEDERTI</w:t>
    </w:r>
    <w:r>
      <w:rPr>
        <w:color w:val="5B6660"/>
        <w:sz w:val="16"/>
        <w:szCs w:val="16"/>
      </w:rPr>
      <w:t xml:space="preserve">	Data Asset Inventory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2211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4A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6F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2211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Mederti Data Asset Inventory</dc:title>
  <dc:creator>Mederti</dc:creator>
  <cp:lastModifiedBy>Un-named</cp:lastModifiedBy>
  <cp:revision>1</cp:revision>
  <dcterms:created xsi:type="dcterms:W3CDTF">2026-06-03T06:26:39.412Z</dcterms:created>
  <dcterms:modified xsi:type="dcterms:W3CDTF">2026-06-03T06:26:39.413Z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