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56.png" ContentType="image/png"/>
  <Override PartName="/word/media/rId51.png" ContentType="image/png"/>
  <Override PartName="/word/media/rId25.png" ContentType="image/png"/>
  <Override PartName="/word/media/rId37.png" ContentType="image/png"/>
  <Override PartName="/word/media/rId33.png" ContentType="image/png"/>
  <Override PartName="/word/media/rId30.png" ContentType="image/png"/>
  <Override PartName="/word/media/rId40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Appendix. Bayesian estimation of the Marburg virus serial interval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appendix documents the Bayesian serial-interval analysis: the</w:t>
      </w:r>
      <w:r>
        <w:t xml:space="preserve"> </w:t>
      </w:r>
      <w:r>
        <w:t xml:space="preserve">double-interval-censored likelihood, the gamma and lognormal delay families and</w:t>
      </w:r>
      <w:r>
        <w:t xml:space="preserve"> </w:t>
      </w:r>
      <w:r>
        <w:t xml:space="preserve">their priors, MCMC settings, convergence diagnostics, model comparison by</w:t>
      </w:r>
      <w:r>
        <w:t xml:space="preserve"> </w:t>
      </w:r>
      <w:r>
        <w:t xml:space="preserve">leave-one-out cross-validation, prior and posterior predictive checks, and a</w:t>
      </w:r>
      <w:r>
        <w:t xml:space="preserve"> </w:t>
      </w:r>
      <w:r>
        <w:t xml:space="preserve">comparison with the published literature. Maximum-likelihood equivalents are in</w:t>
      </w:r>
      <w:r>
        <w:t xml:space="preserve"> </w:t>
      </w:r>
      <w:r>
        <w:t xml:space="preserve">the R reference implementation (</w:t>
      </w:r>
      <w:r>
        <w:rPr>
          <w:rStyle w:val="VerbatimChar"/>
        </w:rPr>
        <w:t xml:space="preserve">R/estimate_serial_interval.R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primarycensored</w:t>
      </w:r>
      <w:r>
        <w:t xml:space="preserve">).</w:t>
      </w:r>
    </w:p>
    <w:bookmarkEnd w:id="20"/>
    <w:bookmarkStart w:id="21" w:name="data-and-transmission-pairs"/>
    <w:p>
      <w:pPr>
        <w:pStyle w:val="Heading1"/>
      </w:pPr>
      <w:r>
        <w:t xml:space="preserve">Data and transmission pairs</w:t>
      </w:r>
    </w:p>
    <w:p>
      <w:pPr>
        <w:pStyle w:val="FirstParagraph"/>
      </w:pPr>
      <w:r>
        <w:t xml:space="preserve">Infector–infectee pairs were reconstructed from two-case chains, published</w:t>
      </w:r>
      <w:r>
        <w:t xml:space="preserve"> </w:t>
      </w:r>
      <w:r>
        <w:t xml:space="preserve">case narratives, and digitized transmission-tree figures, each tagged with a</w:t>
      </w:r>
      <w:r>
        <w:t xml:space="preserve"> </w:t>
      </w:r>
      <w:r>
        <w:t xml:space="preserve">confidence tier (high, medium, low) and its basis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data/marburg_transmission_pairs.csv</w:t>
      </w:r>
      <w:r>
        <w:t xml:space="preserve">). The serial interval of a pair is</w:t>
      </w:r>
      <w:r>
        <w:t xml:space="preserve"> </w:t>
      </w:r>
      <w:r>
        <w:t xml:space="preserve">onset(infectee) – onset(infector) in days. Because both onsets are recorded</w:t>
      </w:r>
      <w:r>
        <w:t xml:space="preserve"> </w:t>
      </w:r>
      <w:r>
        <w:t xml:space="preserve">to the day, the observed integer delay is doubly interval-censored.</w:t>
      </w:r>
    </w:p>
    <w:bookmarkEnd w:id="21"/>
    <w:bookmarkStart w:id="22" w:name="model"/>
    <w:p>
      <w:pPr>
        <w:pStyle w:val="Heading1"/>
      </w:pPr>
      <w:r>
        <w:t xml:space="preserve">Model</w:t>
      </w:r>
    </w:p>
    <w:p>
      <w:pPr>
        <w:pStyle w:val="FirstParagraph"/>
      </w:pPr>
      <w:r>
        <w:t xml:space="preserve">For a pair with observed integer delay</w:t>
      </w:r>
      <w:r>
        <w:t xml:space="preserve"> </w:t>
      </w:r>
      <w:r>
        <w:rPr>
          <w:i/>
          <w:iCs/>
        </w:rPr>
        <w:t xml:space="preserve">n</w:t>
      </w:r>
      <w:r>
        <w:t xml:space="preserve">, fix the infector onset day at 0 with</w:t>
      </w:r>
      <w:r>
        <w:t xml:space="preserve"> </w:t>
      </w:r>
      <w:r>
        <w:t xml:space="preserve">a within-day offset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~ Uniform(0, 1) (the primary event). The infectee true</w:t>
      </w:r>
      <w:r>
        <w:t xml:space="preserve"> </w:t>
      </w:r>
      <w:r>
        <w:t xml:space="preserve">onset falls in day</w:t>
      </w:r>
      <w:r>
        <w:t xml:space="preserve"> </w:t>
      </w:r>
      <w:r>
        <w:rPr>
          <w:i/>
          <w:iCs/>
        </w:rPr>
        <w:t xml:space="preserve">n</w:t>
      </w:r>
      <w:r>
        <w:t xml:space="preserve">, i.e. in [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n</w:t>
      </w:r>
      <w:r>
        <w:t xml:space="preserve">+1). For a delay density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with CDF</w:t>
      </w:r>
      <w:r>
        <w:t xml:space="preserve"> </w:t>
      </w:r>
      <w:r>
        <w:rPr>
          <w:i/>
          <w:iCs/>
        </w:rPr>
        <w:t xml:space="preserve">F</w:t>
      </w:r>
      <w:r>
        <w:t xml:space="preserve">, the pair likelihood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t</w:t>
      </w:r>
      <w:r>
        <w:t xml:space="preserve">) = 0 for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–&lt; 0. The primary offset is marginalized by 64-node</w:t>
      </w:r>
      <w:r>
        <w:t xml:space="preserve"> </w:t>
      </w:r>
      <w:r>
        <w:t xml:space="preserve">midpoint quadrature. Two delay families are fit, both parameterized by the mean</w:t>
      </w:r>
      <w:r>
        <w:t xml:space="preserve"> </w:t>
      </w:r>
      <w:r>
        <w:t xml:space="preserve">– mu (days) so estimates are directly comparable: a gamma (shape</w:t>
      </w:r>
      <w:r>
        <w:t xml:space="preserve"> </w:t>
      </w:r>
      <w:r>
        <w:rPr>
          <w:i/>
          <w:iCs/>
        </w:rPr>
        <w:t xml:space="preserve">k</w:t>
      </w:r>
      <w:r>
        <w:t xml:space="preserve">, so</w:t>
      </w:r>
      <w:r>
        <w:t xml:space="preserve"> </w:t>
      </w:r>
      <w:r>
        <w:t xml:space="preserve">SD = mu/sqrt(</w:t>
      </w:r>
      <w:r>
        <w:rPr>
          <w:i/>
          <w:iCs/>
        </w:rPr>
        <w:t xml:space="preserve">k</w:t>
      </w:r>
      <w:r>
        <w:t xml:space="preserve">), CV = 1/sqrt(</w:t>
      </w:r>
      <w:r>
        <w:rPr>
          <w:i/>
          <w:iCs/>
        </w:rPr>
        <w:t xml:space="preserve">k</w:t>
      </w:r>
      <w:r>
        <w:t xml:space="preserve">)) and a lognormal (sdlog – sigma, meanlog</w:t>
      </w:r>
      <w:r>
        <w:t xml:space="preserve"> </w:t>
      </w:r>
      <w:r>
        <w:t xml:space="preserve">set so E[</w:t>
      </w:r>
      <w:r>
        <w:rPr>
          <w:i/>
          <w:iCs/>
        </w:rPr>
        <w:t xml:space="preserve">T</w:t>
      </w:r>
      <w:r>
        <w:t xml:space="preserve">] = mu, CV = sqrt(exp(sigma^2) – 1)).</w:t>
      </w:r>
    </w:p>
    <w:p>
      <w:pPr>
        <w:pStyle w:val="BodyText"/>
      </w:pPr>
      <w:r>
        <w:t xml:space="preserve">Priors (weakly informative, centered on an ~8-day Marburg serial interval):</w:t>
      </w:r>
      <w:r>
        <w:t xml:space="preserve"> </w:t>
      </w:r>
      <w:r>
        <w:t xml:space="preserve">mu ~ LogNormal(log 8, 0.6); gamma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~ LogNormal(log 2, 0.7); lognormal</w:t>
      </w:r>
      <w:r>
        <w:t xml:space="preserve"> </w:t>
      </w:r>
      <w:r>
        <w:t xml:space="preserve">sigma ~ HalfNormal(0.5). Inference used the NUTS sampler (NumPyro): 4 chains,</w:t>
      </w:r>
      <w:r>
        <w:t xml:space="preserve"> </w:t>
      </w:r>
      <w:r>
        <w:t xml:space="preserve">1000 warmup and 2000 sampling iterations each (8000 posterior draws), seed 1834.</w:t>
      </w:r>
    </w:p>
    <w:bookmarkEnd w:id="22"/>
    <w:bookmarkStart w:id="23" w:name="posterior-estimates"/>
    <w:p>
      <w:pPr>
        <w:pStyle w:val="Heading1"/>
      </w:pPr>
      <w:r>
        <w:t xml:space="preserve">Posterior estimates</w:t>
      </w:r>
    </w:p>
    <w:p>
      <w:pPr>
        <w:pStyle w:val="TableCaption"/>
      </w:pPr>
      <w:r>
        <w:t xml:space="preserve">Appendix Table 1. Gamma posterior serial-interval estimates (median, 95% credible interval).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1. Gamma posterior serial-interval estimates (median, 95% credible interval)."/>
      </w:tblPr>
      <w:tblGrid>
        <w:gridCol w:w="1320"/>
        <w:gridCol w:w="848"/>
        <w:gridCol w:w="2262"/>
        <w:gridCol w:w="1791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SI, d (95% CrI)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SD, d (95% CrI)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(95% CrI)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 (8.9–13.4)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 (2.6–6.4)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 (0.24–0.56)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 (9.6–13.3)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 (3.4–6.5)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 (0.31–0.55)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 (10.1–13.9)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(3.8–7.0)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(0.33–0.57)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Appendix Table 2. Lognormal posterior serial-interval estimates (median, 95% credible interval).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2. Lognormal posterior serial-interval estimates (median, 95% credible interval)."/>
      </w:tblPr>
      <w:tblGrid>
        <w:gridCol w:w="1320"/>
        <w:gridCol w:w="848"/>
        <w:gridCol w:w="2262"/>
        <w:gridCol w:w="1791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SI, d (95% CrI)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SD, d (95% CrI)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(95% CrI)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 (9.4–12.9)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(2.0–5.4)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(0.18–0.46)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 (9.9–13.4)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(3.1–6.7)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 (0.29–0.54)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(10.2–13.9)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(3.5–7.3)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(0.31–0.56)</w:t>
            </w:r>
          </w:p>
        </w:tc>
      </w:tr>
    </w:tbl>
    <w:bookmarkEnd w:id="23"/>
    <w:bookmarkStart w:id="24" w:name="convergence-diagnostics"/>
    <w:p>
      <w:pPr>
        <w:pStyle w:val="Heading1"/>
      </w:pPr>
      <w:r>
        <w:t xml:space="preserve">Convergence diagnostics</w:t>
      </w:r>
    </w:p>
    <w:p>
      <w:pPr>
        <w:pStyle w:val="FirstParagraph"/>
      </w:pPr>
      <w:r>
        <w:t xml:space="preserve">All parameters converged (R-hat = 1.00; bulk and tail effective sample sizes in</w:t>
      </w:r>
      <w:r>
        <w:t xml:space="preserve"> </w:t>
      </w:r>
      <w:r>
        <w:t xml:space="preserve">the thousands from 8000 draws). Diagnostics are shown for the gamma model; the</w:t>
      </w:r>
      <w:r>
        <w:t xml:space="preserve"> </w:t>
      </w:r>
      <w:r>
        <w:t xml:space="preserve">lognormal fits converged equally well.</w:t>
      </w:r>
    </w:p>
    <w:p>
      <w:pPr>
        <w:pStyle w:val="TableCaption"/>
      </w:pPr>
      <w:r>
        <w:t xml:space="preserve">Appendix Table 3. MCMC convergence diagnostics (gamma model).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3. MCMC convergence diagnostics (gamma model)."/>
      </w:tblPr>
      <w:tblGrid>
        <w:gridCol w:w="1403"/>
        <w:gridCol w:w="1303"/>
        <w:gridCol w:w="802"/>
        <w:gridCol w:w="701"/>
        <w:gridCol w:w="1403"/>
        <w:gridCol w:w="1403"/>
        <w:gridCol w:w="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ESS (bulk)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ESS (tail)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R-hat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4"/>
    <w:bookmarkStart w:id="29" w:name="model-comparison-gamma-vs-lognormal"/>
    <w:p>
      <w:pPr>
        <w:pStyle w:val="Heading1"/>
      </w:pPr>
      <w:r>
        <w:t xml:space="preserve">Model comparison: gamma vs lognormal</w:t>
      </w:r>
    </w:p>
    <w:p>
      <w:pPr>
        <w:pStyle w:val="FirstParagraph"/>
      </w:pPr>
      <w:r>
        <w:t xml:space="preserve">The two families were compared by Pareto-smoothed importance-sampling</w:t>
      </w:r>
      <w:r>
        <w:t xml:space="preserve"> </w:t>
      </w:r>
      <w:r>
        <w:t xml:space="preserve">leave-one-out cross-validation (PSIS-LOO). The lognormal has the higher expected</w:t>
      </w:r>
      <w:r>
        <w:t xml:space="preserve"> </w:t>
      </w:r>
      <w:r>
        <w:t xml:space="preserve">log predictive density in every subset, but the difference is small relative to</w:t>
      </w:r>
      <w:r>
        <w:t xml:space="preserve"> </w:t>
      </w:r>
      <w:r>
        <w:t xml:space="preserve">its standard error (dELPD &lt; 1 with SE(d) of comparable size, Appendix</w:t>
      </w:r>
      <w:r>
        <w:t xml:space="preserve"> </w:t>
      </w:r>
      <w:r>
        <w:t xml:space="preserve">Table 4, Appendix Figure 1), so the two families are not</w:t>
      </w:r>
      <w:r>
        <w:t xml:space="preserve"> </w:t>
      </w:r>
      <w:r>
        <w:t xml:space="preserve">distinguishable on these data. This agrees with the maximum-likelihood AIC</w:t>
      </w:r>
      <w:r>
        <w:t xml:space="preserve"> </w:t>
      </w:r>
      <w:r>
        <w:t xml:space="preserve">comparison (Appendix Table 5), which also favors the lognormal marginally.</w:t>
      </w:r>
      <w:r>
        <w:t xml:space="preserve"> </w:t>
      </w:r>
      <w:r>
        <w:t xml:space="preserve">Gamma is retained as the primary model for consistency with the</w:t>
      </w:r>
      <w:r>
        <w:t xml:space="preserve"> </w:t>
      </w:r>
      <w:r>
        <w:t xml:space="preserve">generation-interval convention used in the reproduction-number calculation.</w:t>
      </w:r>
    </w:p>
    <w:p>
      <w:pPr>
        <w:pStyle w:val="TableCaption"/>
      </w:pPr>
      <w:r>
        <w:t xml:space="preserve">Appendix Table 4. PSIS-LOO comparison of gamma and lognormal. dELPD is the difference from the best model; SE(d) its standard error.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4. PSIS-LOO comparison of gamma and lognormal. dELPD is the difference from the best model; SE(d) its standard error."/>
      </w:tblPr>
      <w:tblGrid>
        <w:gridCol w:w="1320"/>
        <w:gridCol w:w="1037"/>
        <w:gridCol w:w="754"/>
        <w:gridCol w:w="1320"/>
        <w:gridCol w:w="848"/>
        <w:gridCol w:w="848"/>
        <w:gridCol w:w="848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ELPD (LOO)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p_LOO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SE(d)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-78.56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4800600" cy="5354515"/>
            <wp:effectExtent b="0" l="0" r="0" t="0"/>
            <wp:docPr descr="Appendix Figure 1. PSIS-LOO comparison per subset. Open circles, ELPD; whiskers, standard error; dashed line, best model." title="" id="26" name="Picture"/>
            <a:graphic>
              <a:graphicData uri="http://schemas.openxmlformats.org/drawingml/2006/picture">
                <pic:pic>
                  <pic:nvPicPr>
                    <pic:cNvPr descr="../figures/loo_compa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5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1. PSIS-LOO comparison per subset. Open circles, ELPD; whiskers, standard error; dashed line, best model.</w:t>
      </w:r>
    </w:p>
    <w:p>
      <w:pPr>
        <w:pStyle w:val="TableCaption"/>
      </w:pPr>
      <w:r>
        <w:t xml:space="preserve">Appendix Table 5. Maximum-likelihood family comparison (R,</w:t>
      </w:r>
      <w:r>
        <w:t xml:space="preserve"> </w:t>
      </w:r>
      <w:r>
        <w:rPr>
          <w:rStyle w:val="VerbatimChar"/>
        </w:rPr>
        <w:t xml:space="preserve">primarycensored</w:t>
      </w:r>
      <w:r>
        <w:t xml:space="preserve">; double interval-censored).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5. Maximum-likelihood family comparison (R, primarycensored; double interval-censored)."/>
      </w:tblPr>
      <w:tblGrid>
        <w:gridCol w:w="1179"/>
        <w:gridCol w:w="1179"/>
        <w:gridCol w:w="589"/>
        <w:gridCol w:w="1179"/>
        <w:gridCol w:w="1095"/>
        <w:gridCol w:w="1432"/>
        <w:gridCol w:w="12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SI,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(AIC)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 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 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 Weibull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high+medium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incl 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162.68</w:t>
            </w:r>
          </w:p>
        </w:tc>
      </w:tr>
    </w:tbl>
    <w:bookmarkStart w:id="28" w:name="effect-on-the-reproduction-number"/>
    <w:p>
      <w:pPr>
        <w:pStyle w:val="Heading2"/>
      </w:pPr>
      <w:r>
        <w:t xml:space="preserve">Effect on the reproduction number</w:t>
      </w:r>
    </w:p>
    <w:p>
      <w:pPr>
        <w:pStyle w:val="FirstParagraph"/>
      </w:pPr>
      <w:r>
        <w:t xml:space="preserve">The Monte Carlo R0 uses the Wallinga–Lipsitch relation R0 = 1 /</w:t>
      </w:r>
      <w:r>
        <w:t xml:space="preserve"> </w:t>
      </w:r>
      <w:r>
        <w:rPr>
          <w:i/>
          <w:iCs/>
        </w:rPr>
        <w:t xml:space="preserve">M</w:t>
      </w:r>
      <w:r>
        <w:t xml:space="preserve">(–</w:t>
      </w:r>
      <w:r>
        <w:rPr>
          <w:i/>
          <w:iCs/>
        </w:rPr>
        <w:t xml:space="preserve">r</w:t>
      </w:r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is the moment-generating function (Laplace transform) of the</w:t>
      </w:r>
      <w:r>
        <w:t xml:space="preserve"> </w:t>
      </w:r>
      <w:r>
        <w:t xml:space="preserve">generation interval and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the growth rate. For a gamma generation interval</w:t>
      </w:r>
      <w:r>
        <w:t xml:space="preserve"> </w:t>
      </w:r>
      <w:r>
        <w:t xml:space="preserve">this has the closed form R0 = (1 +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Tg / kappa)^kappa with kappa = 1/CV^2,</w:t>
      </w:r>
      <w:r>
        <w:t xml:space="preserve"> </w:t>
      </w:r>
      <w:r>
        <w:t xml:space="preserve">which is what the current pipeline uses (</w:t>
      </w:r>
      <w:r>
        <w:rPr>
          <w:rStyle w:val="VerbatimChar"/>
        </w:rPr>
        <w:t xml:space="preserve">R/estimate_R0_montecarlo.R</w:t>
      </w:r>
      <w:r>
        <w:t xml:space="preserve">). A</w:t>
      </w:r>
      <w:r>
        <w:t xml:space="preserve"> </w:t>
      </w:r>
      <w:r>
        <w:t xml:space="preserve">lognormal generation interval has no closed-form MGF, so adopting it would</w:t>
      </w:r>
      <w:r>
        <w:t xml:space="preserve"> </w:t>
      </w:r>
      <w:r>
        <w:t xml:space="preserve">require evaluating</w:t>
      </w:r>
      <w:r>
        <w:t xml:space="preserve"> </w:t>
      </w:r>
      <w:r>
        <w:rPr>
          <w:i/>
          <w:iCs/>
        </w:rPr>
        <w:t xml:space="preserve">M</w:t>
      </w:r>
      <w:r>
        <w:t xml:space="preserve">(–</w:t>
      </w:r>
      <w:r>
        <w:rPr>
          <w:i/>
          <w:iCs/>
        </w:rPr>
        <w:t xml:space="preserve">r</w:t>
      </w:r>
      <w:r>
        <w:t xml:space="preserve">) = E[exp(–</w:t>
      </w:r>
      <w:r>
        <w:rPr>
          <w:i/>
          <w:iCs/>
        </w:rPr>
        <w:t xml:space="preserve">r T</w:t>
      </w:r>
      <w:r>
        <w:t xml:space="preserve">)] numerically (for example by</w:t>
      </w:r>
      <w:r>
        <w:t xml:space="preserve"> </w:t>
      </w:r>
      <w:r>
        <w:t xml:space="preserve">quadrature over the lognormal density) at each Monte Carlo draw. Because the two</w:t>
      </w:r>
      <w:r>
        <w:t xml:space="preserve"> </w:t>
      </w:r>
      <w:r>
        <w:t xml:space="preserve">families are indistinguishable by LOO and give near-identical means and CVs, the</w:t>
      </w:r>
      <w:r>
        <w:t xml:space="preserve"> </w:t>
      </w:r>
      <w:r>
        <w:t xml:space="preserve">gamma closed form is retained; the numerical-Laplace-transform route is the</w:t>
      </w:r>
      <w:r>
        <w:t xml:space="preserve"> </w:t>
      </w:r>
      <w:r>
        <w:t xml:space="preserve">correct extension if a lognormal generation interval is preferred.</w:t>
      </w:r>
    </w:p>
    <w:bookmarkEnd w:id="28"/>
    <w:bookmarkEnd w:id="29"/>
    <w:bookmarkStart w:id="36" w:name="predictive-checks"/>
    <w:p>
      <w:pPr>
        <w:pStyle w:val="Heading1"/>
      </w:pPr>
      <w:r>
        <w:t xml:space="preserve">Predictive checks</w:t>
      </w:r>
    </w:p>
    <w:p>
      <w:pPr>
        <w:pStyle w:val="FirstParagraph"/>
      </w:pPr>
      <w:r>
        <w:t xml:space="preserve">The prior predictive distribution covers the observed serial-interval range</w:t>
      </w:r>
      <w:r>
        <w:t xml:space="preserve"> </w:t>
      </w:r>
      <w:r>
        <w:t xml:space="preserve">before fitting (Appendix Figure 2). The posterior predictive</w:t>
      </w:r>
      <w:r>
        <w:t xml:space="preserve"> </w:t>
      </w:r>
      <w:r>
        <w:t xml:space="preserve">distribution reproduces the central mass of the observed delays; residual spread</w:t>
      </w:r>
      <w:r>
        <w:t xml:space="preserve"> </w:t>
      </w:r>
      <w:r>
        <w:t xml:space="preserve">in the tails is consistent with the small sample and the star-shaped dependence</w:t>
      </w:r>
      <w:r>
        <w:t xml:space="preserve"> </w:t>
      </w:r>
      <w:r>
        <w:t xml:space="preserve">among pairs that share the Tanzania index (Appendix Figure 3).</w:t>
      </w:r>
    </w:p>
    <w:p>
      <w:pPr>
        <w:pStyle w:val="CaptionedFigure"/>
      </w:pPr>
      <w:r>
        <w:drawing>
          <wp:inline>
            <wp:extent cx="4800600" cy="2710353"/>
            <wp:effectExtent b="0" l="0" r="0" t="0"/>
            <wp:docPr descr="Appendix Figure 2. Prior predictive check, all pairs overlaid." title="" id="31" name="Picture"/>
            <a:graphic>
              <a:graphicData uri="http://schemas.openxmlformats.org/drawingml/2006/picture">
                <pic:pic>
                  <pic:nvPicPr>
                    <pic:cNvPr descr="../figures/prior_predictiv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10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2. Prior predictive check, all pairs overlaid.</w:t>
      </w:r>
    </w:p>
    <w:p>
      <w:pPr>
        <w:pStyle w:val="CaptionedFigure"/>
      </w:pPr>
      <w:r>
        <w:drawing>
          <wp:inline>
            <wp:extent cx="4800600" cy="2706425"/>
            <wp:effectExtent b="0" l="0" r="0" t="0"/>
            <wp:docPr descr="Appendix Figure 3. Posterior predictive check, high+medium subset (gamma). Points, observed proportions; line and band, predictive median and 95% interval." title="" id="34" name="Picture"/>
            <a:graphic>
              <a:graphicData uri="http://schemas.openxmlformats.org/drawingml/2006/picture">
                <pic:pic>
                  <pic:nvPicPr>
                    <pic:cNvPr descr="../figures/ppc_high_medium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06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3. Posterior predictive check, high+medium subset (gamma). Points, observed proportions; line and band, predictive median and 95% interval.</w:t>
      </w:r>
    </w:p>
    <w:bookmarkEnd w:id="36"/>
    <w:bookmarkStart w:id="46" w:name="Xfc088496c45474e3f7f62201bb36f93f3221bdd"/>
    <w:p>
      <w:pPr>
        <w:pStyle w:val="Heading1"/>
      </w:pPr>
      <w:r>
        <w:t xml:space="preserve">Posterior and sampling diagnostics (gamma, high+medium subset)</w:t>
      </w:r>
    </w:p>
    <w:p>
      <w:pPr>
        <w:pStyle w:val="CaptionedFigure"/>
      </w:pPr>
      <w:r>
        <w:drawing>
          <wp:inline>
            <wp:extent cx="4800600" cy="3334726"/>
            <wp:effectExtent b="0" l="0" r="0" t="0"/>
            <wp:docPr descr="Appendix Figure 4. Posterior marginals with 95% highest-density intervals." title="" id="38" name="Picture"/>
            <a:graphic>
              <a:graphicData uri="http://schemas.openxmlformats.org/drawingml/2006/picture">
                <pic:pic>
                  <pic:nvPicPr>
                    <pic:cNvPr descr="../figures/posterior_high_mediu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4. Posterior marginals with 95% highest-density intervals.</w:t>
      </w:r>
    </w:p>
    <w:p>
      <w:pPr>
        <w:pStyle w:val="CaptionedFigure"/>
      </w:pPr>
      <w:r>
        <w:drawing>
          <wp:inline>
            <wp:extent cx="4800600" cy="4112873"/>
            <wp:effectExtent b="0" l="0" r="0" t="0"/>
            <wp:docPr descr="Appendix Figure 5. MCMC traces and marginal densities by chain." title="" id="41" name="Picture"/>
            <a:graphic>
              <a:graphicData uri="http://schemas.openxmlformats.org/drawingml/2006/picture">
                <pic:pic>
                  <pic:nvPicPr>
                    <pic:cNvPr descr="../figures/trace_high_mediu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1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5. MCMC traces and marginal densities by chain.</w:t>
      </w:r>
    </w:p>
    <w:p>
      <w:pPr>
        <w:pStyle w:val="CaptionedFigure"/>
      </w:pPr>
      <w:r>
        <w:drawing>
          <wp:inline>
            <wp:extent cx="4800600" cy="1642020"/>
            <wp:effectExtent b="0" l="0" r="0" t="0"/>
            <wp:docPr descr="Appendix Figure 6. Gamma serial-interval posteriors across confidence subsets (point, median; bar, 95% HDI)." title="" id="44" name="Picture"/>
            <a:graphic>
              <a:graphicData uri="http://schemas.openxmlformats.org/drawingml/2006/picture">
                <pic:pic>
                  <pic:nvPicPr>
                    <pic:cNvPr descr="../figures/forest_compar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4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6. Gamma serial-interval posteriors across confidence subsets (point, median; bar, 95% HDI).</w:t>
      </w:r>
    </w:p>
    <w:p>
      <w:pPr>
        <w:pStyle w:val="BodyText"/>
      </w:pPr>
      <w:r>
        <w:t xml:space="preserve">Rank plots and per-subset trace, posterior, and predictive figures for the</w:t>
      </w:r>
      <w:r>
        <w:t xml:space="preserve"> </w:t>
      </w:r>
      <w:r>
        <w:t xml:space="preserve">high-only and all-pairs subsets are in</w:t>
      </w:r>
      <w:r>
        <w:t xml:space="preserve"> </w:t>
      </w:r>
      <w:r>
        <w:rPr>
          <w:rStyle w:val="VerbatimChar"/>
        </w:rPr>
        <w:t xml:space="preserve">outputs/figures/</w:t>
      </w:r>
      <w:r>
        <w:t xml:space="preserve">.</w:t>
      </w:r>
    </w:p>
    <w:bookmarkEnd w:id="46"/>
    <w:bookmarkStart w:id="50" w:name="transmission-pair-timelines"/>
    <w:p>
      <w:pPr>
        <w:pStyle w:val="Heading1"/>
      </w:pPr>
      <w:r>
        <w:t xml:space="preserve">Transmission-pair timelines</w:t>
      </w:r>
    </w:p>
    <w:p>
      <w:pPr>
        <w:pStyle w:val="CaptionedFigure"/>
      </w:pPr>
      <w:r>
        <w:drawing>
          <wp:inline>
            <wp:extent cx="4800600" cy="5419344"/>
            <wp:effectExtent b="0" l="0" r="0" t="0"/>
            <wp:docPr descr="Appendix Figure 7. Each pair aligned to a common t0 (infector onset, circle) to the infectee onset (square), sorted by serial interval and colored by onset confidence; green band, posterior mean serial interval." title="" id="48" name="Picture"/>
            <a:graphic>
              <a:graphicData uri="http://schemas.openxmlformats.org/drawingml/2006/picture">
                <pic:pic>
                  <pic:nvPicPr>
                    <pic:cNvPr descr="../figures/transmission_timelin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1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7. Each pair aligned to a common t0 (infector onset, circle) to the infectee onset (square), sorted by serial interval and colored by onset confidence; green band, posterior mean serial interval.</w:t>
      </w:r>
    </w:p>
    <w:bookmarkEnd w:id="50"/>
    <w:bookmarkStart w:id="55" w:name="comparison-with-the-literature"/>
    <w:p>
      <w:pPr>
        <w:pStyle w:val="Heading1"/>
      </w:pPr>
      <w:r>
        <w:t xml:space="preserve">Comparison with the literature</w:t>
      </w:r>
    </w:p>
    <w:p>
      <w:pPr>
        <w:pStyle w:val="FirstParagraph"/>
      </w:pPr>
      <w:r>
        <w:t xml:space="preserve">Estimates from the reconstructed pairs run longer than the pooled published mean</w:t>
      </w:r>
      <w:r>
        <w:t xml:space="preserve"> </w:t>
      </w:r>
      <w:r>
        <w:t xml:space="preserve">(Qian et al. 2023, 9.2 d); the Ebola Zaire value is a comparator, not Marburg</w:t>
      </w:r>
      <w:r>
        <w:t xml:space="preserve"> </w:t>
      </w:r>
      <w:r>
        <w:t xml:space="preserve">(Appendix Figure 8, Appendix Table 6).</w:t>
      </w:r>
    </w:p>
    <w:p>
      <w:pPr>
        <w:pStyle w:val="CaptionedFigure"/>
      </w:pPr>
      <w:r>
        <w:drawing>
          <wp:inline>
            <wp:extent cx="4800600" cy="2681251"/>
            <wp:effectExtent b="0" l="0" r="0" t="0"/>
            <wp:docPr descr="Appendix Figure 8. Marburg serial interval, this study versus literature. Thick bars, 95% credible interval on the mean; dotted, literature mean +/- 1 SD." title="" id="52" name="Picture"/>
            <a:graphic>
              <a:graphicData uri="http://schemas.openxmlformats.org/drawingml/2006/picture">
                <pic:pic>
                  <pic:nvPicPr>
                    <pic:cNvPr descr="../figures/literature_comparis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1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8. Marburg serial interval, this study versus literature. Thick bars, 95% credible interval on the mean; dotted, literature mean +/- 1 SD.</w:t>
      </w:r>
    </w:p>
    <w:p>
      <w:pPr>
        <w:pStyle w:val="TableCaption"/>
      </w:pPr>
      <w:r>
        <w:t xml:space="preserve">Appendix Table 6. Serial interval, this study versus published estimates.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pendix Table 6. Serial interval, this study versus published estimates."/>
      </w:tblPr>
      <w:tblGrid>
        <w:gridCol w:w="2462"/>
        <w:gridCol w:w="1928"/>
        <w:gridCol w:w="410"/>
        <w:gridCol w:w="451"/>
        <w:gridCol w:w="410"/>
        <w:gridCol w:w="410"/>
        <w:gridCol w:w="369"/>
        <w:gridCol w:w="287"/>
        <w:gridCol w:w="1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Mean,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SD,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study (NumPyro, double-censored)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Marburg, high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study (NumPyro, double-censored)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Marburg, high+medium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study (NumPyro, double-censored)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Marburg, all incl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Qian et al. 2023, medRxiv preprint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Marburg (all 15 outbreaks, pooled line lists)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10.1101/2022.06.17.22276538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Ebola Response Team, NEJM 2014 (cited in Qian Table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Ebola Zaire (comparator, NOT Marburg)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10.1056/NEJMoa1411100</w:t>
            </w:r>
          </w:p>
        </w:tc>
      </w:tr>
    </w:tbl>
    <w:bookmarkStart w:id="54" w:name="Xe7b6d2b6be368be44c31c65d9ddcc024d216f13"/>
    <w:p>
      <w:pPr>
        <w:pStyle w:val="Heading2"/>
      </w:pPr>
      <w:r>
        <w:t xml:space="preserve">Source of the difference from Qian et al. 2023</w:t>
      </w:r>
    </w:p>
    <w:p>
      <w:pPr>
        <w:pStyle w:val="FirstParagraph"/>
      </w:pPr>
      <w:r>
        <w:t xml:space="preserve">Qian et al. estimated their serial interval from 26 infector–infectee pairs</w:t>
      </w:r>
      <w:r>
        <w:t xml:space="preserve"> </w:t>
      </w:r>
      <w:r>
        <w:t xml:space="preserve">identified in five outbreaks (DRC, Kenya, South Africa, Belgrade, Uganda 2012)</w:t>
      </w:r>
      <w:r>
        <w:t xml:space="preserve"> </w:t>
      </w:r>
      <w:r>
        <w:t xml:space="preserve">by fitting a gamma to the raw onset-to-onset differences, without interval</w:t>
      </w:r>
      <w:r>
        <w:t xml:space="preserve"> </w:t>
      </w:r>
      <w:r>
        <w:t xml:space="preserve">censoring, using whole-outbreak linelists. Two points follow. First, the</w:t>
      </w:r>
      <w:r>
        <w:t xml:space="preserve"> </w:t>
      </w:r>
      <w:r>
        <w:t xml:space="preserve">difference is not the censoring method: restricting our pairs to those same five</w:t>
      </w:r>
      <w:r>
        <w:t xml:space="preserve"> </w:t>
      </w:r>
      <w:r>
        <w:t xml:space="preserve">outbreaks gives 16 pairs with a naive mean of 11.0 d</w:t>
      </w:r>
      <w:r>
        <w:t xml:space="preserve"> </w:t>
      </w:r>
      <w:r>
        <w:t xml:space="preserve">(SD 4.6), still well above 9.2 d, and our SD there matches theirs. Second,</w:t>
      </w:r>
      <w:r>
        <w:t xml:space="preserve"> </w:t>
      </w:r>
      <w:r>
        <w:t xml:space="preserve">it is not outbreak coverage: our newer outbreaks (Tanzania 2023, Uganda 2017)</w:t>
      </w:r>
      <w:r>
        <w:t xml:space="preserve"> </w:t>
      </w:r>
      <w:r>
        <w:t xml:space="preserve">move the pooled estimate only slightly. The gap is pair ascertainment: Qian</w:t>
      </w:r>
      <w:r>
        <w:t xml:space="preserve"> </w:t>
      </w:r>
      <w:r>
        <w:t xml:space="preserve">identified 26 pairs in those five outbreaks where we identified 16, and their</w:t>
      </w:r>
      <w:r>
        <w:t xml:space="preserve"> </w:t>
      </w:r>
      <w:r>
        <w:t xml:space="preserve">more inclusive linelist pairing (largest in the ~150-case DRC 1999-2000 linelist)</w:t>
      </w:r>
      <w:r>
        <w:t xml:space="preserve"> </w:t>
      </w:r>
      <w:r>
        <w:t xml:space="preserve">yields shorter intervals, whereas we used explicit, sequence- or figure-confirmed</w:t>
      </w:r>
      <w:r>
        <w:t xml:space="preserve"> </w:t>
      </w:r>
      <w:r>
        <w:t xml:space="preserve">transmission-tree links. A direct pair-by-pair comparison was not possible: the</w:t>
      </w:r>
      <w:r>
        <w:t xml:space="preserve"> </w:t>
      </w:r>
      <w:r>
        <w:t xml:space="preserve">data repository cited in Qian et al. (github.com/GeorgeYQian/MVD-Branching-</w:t>
      </w:r>
      <w:r>
        <w:t xml:space="preserve"> </w:t>
      </w:r>
      <w:r>
        <w:t xml:space="preserve">Process-Model-Repository) returns HTTP 404 and is no longer available.</w:t>
      </w:r>
    </w:p>
    <w:bookmarkEnd w:id="54"/>
    <w:bookmarkEnd w:id="55"/>
    <w:bookmarkStart w:id="59" w:name="leave-one-outbreak-out-sensitivity"/>
    <w:p>
      <w:pPr>
        <w:pStyle w:val="Heading1"/>
      </w:pPr>
      <w:r>
        <w:t xml:space="preserve">Leave-one-outbreak-out sensitivity</w:t>
      </w:r>
    </w:p>
    <w:p>
      <w:pPr>
        <w:pStyle w:val="FirstParagraph"/>
      </w:pPr>
      <w:r>
        <w:t xml:space="preserve">Refitting the gamma mean with each outbreak dropped in turn (high+medium set)</w:t>
      </w:r>
      <w:r>
        <w:t xml:space="preserve"> </w:t>
      </w:r>
      <w:r>
        <w:t xml:space="preserve">leaves the pooled mean between 11.1 and 12.4 d, all credible intervals</w:t>
      </w:r>
      <w:r>
        <w:t xml:space="preserve"> </w:t>
      </w:r>
      <w:r>
        <w:t xml:space="preserve">overlapping the full estimate (Appendix Figure 9, Appendix Table</w:t>
      </w:r>
      <w:r>
        <w:t xml:space="preserve"> </w:t>
      </w:r>
      <w:r>
        <w:t xml:space="preserve">7). No single outbreak drives the result; dropping Uganda 2017 (the</w:t>
      </w:r>
      <w:r>
        <w:t xml:space="preserve"> </w:t>
      </w:r>
      <w:r>
        <w:t xml:space="preserve">longest-SI outbreak) still leaves the mean near 11.1 d, above the Qian value.</w:t>
      </w:r>
    </w:p>
    <w:p>
      <w:pPr>
        <w:pStyle w:val="CaptionedFigure"/>
      </w:pPr>
      <w:r>
        <w:drawing>
          <wp:inline>
            <wp:extent cx="4800600" cy="3072104"/>
            <wp:effectExtent b="0" l="0" r="0" t="0"/>
            <wp:docPr descr="Appendix Figure 9. Pooled mean serial interval (gamma, high+medium) as each outbreak is dropped. Green band and line, full-sample 95% CrI and median." title="" id="57" name="Picture"/>
            <a:graphic>
              <a:graphicData uri="http://schemas.openxmlformats.org/drawingml/2006/picture">
                <pic:pic>
                  <pic:nvPicPr>
                    <pic:cNvPr descr="../figures/leave_one_ou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Appendix Figure 9. Pooled mean serial interval (gamma, high+medium) as each outbreak is dropped. Green band and line, full-sample 95% CrI and median.</w:t>
      </w:r>
    </w:p>
    <w:p>
      <w:pPr>
        <w:pStyle w:val="TableCaption"/>
      </w:pPr>
      <w:r>
        <w:t xml:space="preserve">Appendix Table 7. Leave-one-outbreak-out pooled mean serial interval.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ppendix Table 7. Leave-one-outbreak-out pooled mean serial interva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Dropped outbreak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SI, d (95% CrI)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 (9.7–13.4)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Belgrade 1967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 (9.7–13.5)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DRC 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 (9.5–13.9)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Kenya 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 (9.5–13.2)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Africa 1975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 (9.9–13.9)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Tanzania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(9.6–14.7)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Uganda 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 (9.3–13.6)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Uganda 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 (9.1–12.6)</w:t>
            </w:r>
          </w:p>
        </w:tc>
      </w:tr>
    </w:tbl>
    <w:bookmarkEnd w:id="59"/>
    <w:bookmarkStart w:id="60" w:name="reproducibility-and-data-availability"/>
    <w:p>
      <w:pPr>
        <w:pStyle w:val="Heading1"/>
      </w:pPr>
      <w:r>
        <w:t xml:space="preserve">Reproducibility and data availability</w:t>
      </w:r>
    </w:p>
    <w:p>
      <w:pPr>
        <w:pStyle w:val="FirstParagraph"/>
      </w:pPr>
      <w:r>
        <w:t xml:space="preserve">All stochastic code is seeded with 1834. Bayesian estimation used Python 3.13.5</w:t>
      </w:r>
      <w:r>
        <w:t xml:space="preserve"> </w:t>
      </w:r>
      <w:r>
        <w:t xml:space="preserve">(numpyro 0.21.0, jax 0.11.1, arviz 0.23.4, numpy 2.5.3, pandas 3.0.5); the maximum-likelihood reference used R with the</w:t>
      </w:r>
      <w:r>
        <w:t xml:space="preserve"> </w:t>
      </w:r>
      <w:r>
        <w:rPr>
          <w:rStyle w:val="VerbatimChar"/>
        </w:rPr>
        <w:t xml:space="preserve">primarycensored</w:t>
      </w:r>
      <w:r>
        <w:t xml:space="preserve"> </w:t>
      </w:r>
      <w:r>
        <w:t xml:space="preserve">package. Python dependencies are pinned in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. Source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data/marburg_transmission_pairs.csv</w:t>
      </w:r>
      <w:r>
        <w:t xml:space="preserve">, per-outbreak line lists) and all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python/</w:t>
      </w:r>
      <w:r>
        <w:t xml:space="preserve">,</w:t>
      </w:r>
      <w:r>
        <w:t xml:space="preserve"> </w:t>
      </w:r>
      <w:r>
        <w:rPr>
          <w:rStyle w:val="VerbatimChar"/>
        </w:rPr>
        <w:t xml:space="preserve">R/</w:t>
      </w:r>
      <w:r>
        <w:t xml:space="preserve">,</w:t>
      </w:r>
      <w:r>
        <w:t xml:space="preserve"> </w:t>
      </w:r>
      <w:r>
        <w:rPr>
          <w:rStyle w:val="VerbatimChar"/>
        </w:rPr>
        <w:t xml:space="preserve">julia/</w:t>
      </w:r>
      <w:r>
        <w:t xml:space="preserve">) are in the project repository; tables and figures in</w:t>
      </w:r>
      <w:r>
        <w:t xml:space="preserve"> </w:t>
      </w:r>
      <w:r>
        <w:t xml:space="preserve">this appendix are regenerated from them by</w:t>
      </w:r>
      <w:r>
        <w:t xml:space="preserve"> </w:t>
      </w:r>
      <w:r>
        <w:rPr>
          <w:rStyle w:val="VerbatimChar"/>
        </w:rPr>
        <w:t xml:space="preserve">task py:appendix</w:t>
      </w:r>
      <w:r>
        <w:t xml:space="preserve">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56" Target="media/rId56.png" /><Relationship Type="http://schemas.openxmlformats.org/officeDocument/2006/relationships/image" Id="rId51" Target="media/rId51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40" Target="media/rId40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Appendix. Bayesian estimation of the Marburg virus serial interval</dc:title>
  <dc:creator/>
  <cp:keywords/>
  <dcterms:created xsi:type="dcterms:W3CDTF">2026-09-14T12:57:41Z</dcterms:created>
  <dcterms:modified xsi:type="dcterms:W3CDTF">2026-09-14T12:57:41Z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