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7EFB9" w14:textId="7A8FEA14" w:rsidR="00AE5FF8" w:rsidRDefault="007C265A">
      <w:pPr>
        <w:rPr>
          <w:noProof/>
          <w:sz w:val="36"/>
          <w:szCs w:val="36"/>
          <w:lang w:eastAsia="en-GB"/>
        </w:rPr>
      </w:pPr>
      <w:r>
        <w:rPr>
          <w:noProof/>
          <w:sz w:val="36"/>
          <w:szCs w:val="36"/>
          <w:lang w:eastAsia="en-GB"/>
        </w:rPr>
        <w:drawing>
          <wp:anchor distT="0" distB="0" distL="114300" distR="114300" simplePos="0" relativeHeight="251661312" behindDoc="0" locked="0" layoutInCell="1" allowOverlap="1" wp14:anchorId="2ACBE0DD" wp14:editId="0D0D2945">
            <wp:simplePos x="0" y="0"/>
            <wp:positionH relativeFrom="column">
              <wp:posOffset>3407572</wp:posOffset>
            </wp:positionH>
            <wp:positionV relativeFrom="paragraph">
              <wp:posOffset>70485</wp:posOffset>
            </wp:positionV>
            <wp:extent cx="2633980" cy="664845"/>
            <wp:effectExtent l="0" t="0" r="0" b="1905"/>
            <wp:wrapThrough wrapText="bothSides">
              <wp:wrapPolygon edited="0">
                <wp:start x="16716" y="0"/>
                <wp:lineTo x="16716" y="7427"/>
                <wp:lineTo x="17653" y="9903"/>
                <wp:lineTo x="0" y="9903"/>
                <wp:lineTo x="0" y="16092"/>
                <wp:lineTo x="12029" y="19805"/>
                <wp:lineTo x="12029" y="21043"/>
                <wp:lineTo x="21402" y="21043"/>
                <wp:lineTo x="21402" y="0"/>
                <wp:lineTo x="16716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12F">
        <w:rPr>
          <w:noProof/>
          <w:sz w:val="36"/>
          <w:szCs w:val="36"/>
          <w:lang w:eastAsia="en-GB"/>
        </w:rPr>
        <w:drawing>
          <wp:anchor distT="0" distB="0" distL="114300" distR="114300" simplePos="0" relativeHeight="251659264" behindDoc="0" locked="0" layoutInCell="1" allowOverlap="1" wp14:anchorId="14DB9AA7" wp14:editId="1578CA81">
            <wp:simplePos x="0" y="0"/>
            <wp:positionH relativeFrom="column">
              <wp:posOffset>-100330</wp:posOffset>
            </wp:positionH>
            <wp:positionV relativeFrom="paragraph">
              <wp:posOffset>162</wp:posOffset>
            </wp:positionV>
            <wp:extent cx="2007870" cy="1036955"/>
            <wp:effectExtent l="0" t="0" r="0" b="0"/>
            <wp:wrapThrough wrapText="bothSides">
              <wp:wrapPolygon edited="0">
                <wp:start x="6763" y="0"/>
                <wp:lineTo x="4509" y="0"/>
                <wp:lineTo x="410" y="4365"/>
                <wp:lineTo x="0" y="9127"/>
                <wp:lineTo x="0" y="17857"/>
                <wp:lineTo x="1639" y="19841"/>
                <wp:lineTo x="2254" y="21031"/>
                <wp:lineTo x="2869" y="21031"/>
                <wp:lineTo x="5533" y="21031"/>
                <wp:lineTo x="6148" y="21031"/>
                <wp:lineTo x="7173" y="19841"/>
                <wp:lineTo x="6968" y="19047"/>
                <wp:lineTo x="21313" y="15476"/>
                <wp:lineTo x="21313" y="7936"/>
                <wp:lineTo x="6558" y="6349"/>
                <wp:lineTo x="8197" y="0"/>
                <wp:lineTo x="6763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5F8AB" w14:textId="13A192B6" w:rsidR="007C265A" w:rsidRDefault="007C265A">
      <w:pPr>
        <w:rPr>
          <w:noProof/>
          <w:sz w:val="36"/>
          <w:szCs w:val="36"/>
          <w:lang w:eastAsia="en-GB"/>
        </w:rPr>
      </w:pPr>
    </w:p>
    <w:p w14:paraId="38861ABF" w14:textId="0BBCE7EF" w:rsidR="007C265A" w:rsidRDefault="007C265A">
      <w:pPr>
        <w:rPr>
          <w:noProof/>
          <w:sz w:val="36"/>
          <w:szCs w:val="36"/>
          <w:lang w:eastAsia="en-GB"/>
        </w:rPr>
      </w:pPr>
    </w:p>
    <w:p w14:paraId="691A676E" w14:textId="34FEDC3A" w:rsidR="007C265A" w:rsidRDefault="007C265A">
      <w:pPr>
        <w:rPr>
          <w:noProof/>
          <w:sz w:val="36"/>
          <w:szCs w:val="36"/>
          <w:lang w:eastAsia="en-GB"/>
        </w:rPr>
      </w:pPr>
    </w:p>
    <w:p w14:paraId="08CFAAD1" w14:textId="77777777" w:rsidR="007C265A" w:rsidRPr="009D3AA9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9D3AA9">
        <w:rPr>
          <w:rFonts w:ascii="Arial" w:hAnsi="Arial" w:cs="Arial"/>
          <w:b/>
          <w:bCs/>
          <w:color w:val="000000"/>
          <w:sz w:val="28"/>
          <w:szCs w:val="28"/>
        </w:rPr>
        <w:t>Renal Transplantation – Anaesthetic Guidelines</w:t>
      </w:r>
    </w:p>
    <w:p w14:paraId="184196BD" w14:textId="34ACFA8D" w:rsidR="00D408EF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center"/>
        <w:rPr>
          <w:rFonts w:ascii="Arial" w:hAnsi="Arial" w:cs="Arial"/>
          <w:color w:val="000000"/>
          <w:sz w:val="28"/>
          <w:szCs w:val="28"/>
        </w:rPr>
      </w:pPr>
      <w:r w:rsidRPr="009D3AA9">
        <w:rPr>
          <w:rFonts w:ascii="Arial" w:hAnsi="Arial" w:cs="Arial"/>
          <w:color w:val="000000"/>
          <w:sz w:val="28"/>
          <w:szCs w:val="28"/>
        </w:rPr>
        <w:t xml:space="preserve">Dr C Bianchi, </w:t>
      </w:r>
      <w:r w:rsidR="00D408EF">
        <w:rPr>
          <w:rFonts w:ascii="Arial" w:hAnsi="Arial" w:cs="Arial"/>
          <w:color w:val="000000"/>
          <w:sz w:val="28"/>
          <w:szCs w:val="28"/>
        </w:rPr>
        <w:t>Dr D Cunningham, Dr E Loh</w:t>
      </w:r>
    </w:p>
    <w:p w14:paraId="21D8D1D2" w14:textId="174DA1B7" w:rsidR="007C265A" w:rsidRPr="009D3AA9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center"/>
        <w:rPr>
          <w:rFonts w:ascii="Arial" w:hAnsi="Arial" w:cs="Arial"/>
          <w:color w:val="000000"/>
          <w:sz w:val="28"/>
          <w:szCs w:val="28"/>
        </w:rPr>
      </w:pPr>
      <w:r w:rsidRPr="009D3AA9">
        <w:rPr>
          <w:rFonts w:ascii="Arial" w:hAnsi="Arial" w:cs="Arial"/>
          <w:color w:val="000000"/>
          <w:sz w:val="28"/>
          <w:szCs w:val="28"/>
        </w:rPr>
        <w:t xml:space="preserve">Dr C </w:t>
      </w:r>
      <w:r w:rsidR="00061DEB" w:rsidRPr="009D3AA9">
        <w:rPr>
          <w:rFonts w:ascii="Arial" w:hAnsi="Arial" w:cs="Arial"/>
          <w:color w:val="000000"/>
          <w:sz w:val="28"/>
          <w:szCs w:val="28"/>
        </w:rPr>
        <w:t>Tosini, Dr</w:t>
      </w:r>
      <w:r w:rsidRPr="009D3AA9">
        <w:rPr>
          <w:rFonts w:ascii="Arial" w:hAnsi="Arial" w:cs="Arial"/>
          <w:color w:val="000000"/>
          <w:sz w:val="28"/>
          <w:szCs w:val="28"/>
        </w:rPr>
        <w:t xml:space="preserve"> E Williams</w:t>
      </w:r>
    </w:p>
    <w:p w14:paraId="15F61A1E" w14:textId="77777777" w:rsidR="007C265A" w:rsidRPr="009D3AA9" w:rsidRDefault="007C265A" w:rsidP="007C265A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Arial" w:hAnsi="Arial" w:cs="Arial"/>
          <w:color w:val="000000"/>
          <w:sz w:val="24"/>
          <w:szCs w:val="24"/>
        </w:rPr>
      </w:pPr>
    </w:p>
    <w:p w14:paraId="638649BE" w14:textId="23D19CBE" w:rsidR="009D3AA9" w:rsidRPr="00061DEB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color w:val="000000"/>
          <w:sz w:val="24"/>
          <w:szCs w:val="24"/>
        </w:rPr>
        <w:t>These guidelines are meant to help the anaesthetist</w:t>
      </w:r>
      <w:r w:rsidR="006A3248">
        <w:rPr>
          <w:rFonts w:ascii="Arial" w:hAnsi="Arial" w:cs="Arial"/>
          <w:color w:val="000000"/>
          <w:sz w:val="24"/>
          <w:szCs w:val="24"/>
        </w:rPr>
        <w:t>s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 managing renal transplant recipients at St George’s Hospital, either in the deceased</w:t>
      </w:r>
      <w:r w:rsidR="00061DEB">
        <w:rPr>
          <w:rFonts w:ascii="Arial" w:hAnsi="Arial" w:cs="Arial"/>
          <w:color w:val="000000"/>
          <w:sz w:val="24"/>
          <w:szCs w:val="24"/>
        </w:rPr>
        <w:t xml:space="preserve"> 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or living donor transplant setting. </w:t>
      </w:r>
    </w:p>
    <w:p w14:paraId="1D54A68D" w14:textId="277235CA" w:rsidR="007C265A" w:rsidRPr="00061DEB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As for all guidelines, they do not replace a clinician’s own judgement or good medical practice principles. </w:t>
      </w:r>
    </w:p>
    <w:p w14:paraId="143A5C75" w14:textId="77777777" w:rsidR="00D408EF" w:rsidRDefault="00D408EF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C3E7B14" w14:textId="6B14B395" w:rsidR="007C265A" w:rsidRPr="00061DEB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1. Preparation and planning </w:t>
      </w:r>
    </w:p>
    <w:p w14:paraId="6404875A" w14:textId="75BAE61D" w:rsidR="007C265A" w:rsidRPr="00061DEB" w:rsidRDefault="007C265A" w:rsidP="007C265A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Look for work-up sheets and MDT meeting minutes in the paper notes/EPR/</w:t>
      </w:r>
      <w:proofErr w:type="spellStart"/>
      <w:r w:rsidR="00061DEB">
        <w:rPr>
          <w:rFonts w:ascii="Arial" w:hAnsi="Arial" w:cs="Arial"/>
          <w:b/>
          <w:bCs/>
          <w:color w:val="000000"/>
        </w:rPr>
        <w:t>I</w:t>
      </w:r>
      <w:r w:rsidR="00061DEB" w:rsidRPr="00061DEB">
        <w:rPr>
          <w:rFonts w:ascii="Arial" w:hAnsi="Arial" w:cs="Arial"/>
          <w:b/>
          <w:bCs/>
          <w:color w:val="000000"/>
        </w:rPr>
        <w:t>clip</w:t>
      </w:r>
      <w:proofErr w:type="spellEnd"/>
      <w:r w:rsidRPr="00061DEB">
        <w:rPr>
          <w:rFonts w:ascii="Arial" w:hAnsi="Arial" w:cs="Arial"/>
          <w:color w:val="000000"/>
        </w:rPr>
        <w:t>: they often contain most of the necessary information (which is regularly updated): particularly cardiovascular investigations and recommendations about the need of invasive monitoring intra-op and post op destinations.</w:t>
      </w:r>
    </w:p>
    <w:p w14:paraId="1CC986C7" w14:textId="77777777" w:rsidR="007C265A" w:rsidRPr="00061DEB" w:rsidRDefault="007C265A" w:rsidP="007C265A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</w:p>
    <w:p w14:paraId="7A44362A" w14:textId="77777777" w:rsidR="007C265A" w:rsidRPr="00061DEB" w:rsidRDefault="007C265A" w:rsidP="007C265A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Review the patient</w:t>
      </w:r>
      <w:r w:rsidRPr="00061DEB">
        <w:rPr>
          <w:rFonts w:ascii="Arial" w:hAnsi="Arial" w:cs="Arial"/>
          <w:color w:val="000000"/>
        </w:rPr>
        <w:t>: ensure no intercurrent issues and check:</w:t>
      </w:r>
    </w:p>
    <w:p w14:paraId="25DEDA1A" w14:textId="77777777" w:rsidR="007C265A" w:rsidRPr="00061DEB" w:rsidRDefault="007C265A" w:rsidP="007C265A">
      <w:pPr>
        <w:widowControl w:val="0"/>
        <w:numPr>
          <w:ilvl w:val="1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State of hydration</w:t>
      </w:r>
      <w:r w:rsidRPr="00061DEB">
        <w:rPr>
          <w:rFonts w:ascii="Arial" w:hAnsi="Arial" w:cs="Arial"/>
          <w:color w:val="000000"/>
          <w:sz w:val="24"/>
          <w:szCs w:val="24"/>
        </w:rPr>
        <w:t>: Most patients will have had a recent dialysis session. Consider the possibility of hypovolaemia during transplant.</w:t>
      </w:r>
    </w:p>
    <w:p w14:paraId="7161E033" w14:textId="0A9478BF" w:rsidR="007C265A" w:rsidRPr="00061DEB" w:rsidRDefault="007C265A" w:rsidP="007C265A">
      <w:pPr>
        <w:widowControl w:val="0"/>
        <w:numPr>
          <w:ilvl w:val="1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K</w:t>
      </w:r>
      <w:r w:rsidRPr="00061DEB">
        <w:rPr>
          <w:rFonts w:ascii="Arial" w:hAnsi="Arial" w:cs="Arial"/>
          <w:b/>
          <w:bCs/>
          <w:color w:val="000000"/>
          <w:position w:val="13"/>
          <w:sz w:val="24"/>
          <w:szCs w:val="24"/>
        </w:rPr>
        <w:t xml:space="preserve">+ </w:t>
      </w: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and Ca </w:t>
      </w:r>
      <w:r w:rsidR="006A3248" w:rsidRPr="00061DEB">
        <w:rPr>
          <w:rFonts w:ascii="Arial" w:hAnsi="Arial" w:cs="Arial"/>
          <w:b/>
          <w:bCs/>
          <w:color w:val="000000"/>
          <w:sz w:val="24"/>
          <w:szCs w:val="24"/>
        </w:rPr>
        <w:t>levels</w:t>
      </w:r>
      <w:r w:rsidR="006A3248" w:rsidRPr="006A3248">
        <w:rPr>
          <w:rFonts w:ascii="Arial" w:hAnsi="Arial" w:cs="Arial"/>
          <w:color w:val="000000"/>
          <w:sz w:val="24"/>
          <w:szCs w:val="24"/>
        </w:rPr>
        <w:t>:</w:t>
      </w:r>
      <w:r w:rsidR="006A3248" w:rsidRPr="00061DEB">
        <w:rPr>
          <w:rFonts w:ascii="Arial" w:hAnsi="Arial" w:cs="Arial"/>
          <w:color w:val="000000"/>
          <w:sz w:val="24"/>
          <w:szCs w:val="24"/>
        </w:rPr>
        <w:t xml:space="preserve"> Likely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 chronic metabolic acidosis on ABG (if available).</w:t>
      </w:r>
    </w:p>
    <w:p w14:paraId="52E2ECAD" w14:textId="77777777" w:rsidR="007C265A" w:rsidRPr="00061DEB" w:rsidRDefault="007C265A" w:rsidP="007C265A">
      <w:pPr>
        <w:widowControl w:val="0"/>
        <w:numPr>
          <w:ilvl w:val="1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Clotting status</w:t>
      </w:r>
      <w:r w:rsidRPr="00061DEB">
        <w:rPr>
          <w:rFonts w:ascii="Arial" w:hAnsi="Arial" w:cs="Arial"/>
          <w:color w:val="000000"/>
          <w:sz w:val="24"/>
          <w:szCs w:val="24"/>
        </w:rPr>
        <w:t>: check pre- and/or possible intra- and post-op use of anti-platelet or blood thinning agents: Haematology plan should be highlighted in the notes if the patient on any anticoagulant agents.</w:t>
      </w:r>
    </w:p>
    <w:p w14:paraId="669E9544" w14:textId="47B3204A" w:rsidR="007C265A" w:rsidRPr="00061DEB" w:rsidRDefault="007C265A" w:rsidP="007C265A">
      <w:pPr>
        <w:widowControl w:val="0"/>
        <w:numPr>
          <w:ilvl w:val="1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Valid group &amp; save or cross matched units depending on Hb levels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. If &lt;80 g/L, packed red blood cells are usually required for intraoperative transfusion. Comorbidities /special circumstances may cause the threshold to vary. </w:t>
      </w:r>
    </w:p>
    <w:p w14:paraId="6CD14B89" w14:textId="77777777" w:rsidR="007C265A" w:rsidRPr="00061DEB" w:rsidRDefault="007C265A" w:rsidP="007C265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344BADF2" w14:textId="77777777" w:rsidR="007C265A" w:rsidRPr="00061DEB" w:rsidRDefault="007C265A" w:rsidP="007C265A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Consider RSI if high risk of aspiration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; delayed gastric emptying possible. </w:t>
      </w:r>
    </w:p>
    <w:p w14:paraId="565CFB66" w14:textId="77777777" w:rsidR="007C265A" w:rsidRPr="00061DEB" w:rsidRDefault="007C265A" w:rsidP="007C265A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Use theatre briefing to discuss fully with the surgeon and the team the overall intraoperative strategy</w:t>
      </w:r>
      <w:r w:rsidRPr="00061DEB">
        <w:rPr>
          <w:rFonts w:ascii="Arial" w:hAnsi="Arial" w:cs="Arial"/>
          <w:color w:val="000000"/>
          <w:sz w:val="24"/>
          <w:szCs w:val="24"/>
        </w:rPr>
        <w:t>, including agreement on use of intraoperative drugs such as vasopressors, mannitol, immunosuppressants and antibiotics.</w:t>
      </w:r>
    </w:p>
    <w:p w14:paraId="482553C4" w14:textId="7BB7D3ED" w:rsidR="007C265A" w:rsidRPr="00061DEB" w:rsidRDefault="007C265A" w:rsidP="007C265A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61DEB">
        <w:rPr>
          <w:rFonts w:ascii="Arial" w:hAnsi="Arial" w:cs="Arial"/>
          <w:color w:val="000000"/>
          <w:sz w:val="24"/>
          <w:szCs w:val="24"/>
        </w:rPr>
        <w:t xml:space="preserve">Plan with ODP about invasive (arterial line and </w:t>
      </w:r>
      <w:r w:rsidR="00C628D1">
        <w:rPr>
          <w:rFonts w:ascii="Arial" w:hAnsi="Arial" w:cs="Arial"/>
          <w:color w:val="000000"/>
          <w:sz w:val="24"/>
          <w:szCs w:val="24"/>
        </w:rPr>
        <w:t>Flow trac</w:t>
      </w:r>
      <w:r w:rsidRPr="00061DEB">
        <w:rPr>
          <w:rFonts w:ascii="Arial" w:hAnsi="Arial" w:cs="Arial"/>
          <w:color w:val="000000"/>
          <w:sz w:val="24"/>
          <w:szCs w:val="24"/>
        </w:rPr>
        <w:t>) vs non-invasive monitoring</w:t>
      </w: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(Edwards </w:t>
      </w:r>
      <w:proofErr w:type="spellStart"/>
      <w:r w:rsidRPr="00061DEB">
        <w:rPr>
          <w:rFonts w:ascii="Arial" w:hAnsi="Arial" w:cs="Arial"/>
          <w:color w:val="000000"/>
          <w:sz w:val="24"/>
          <w:szCs w:val="24"/>
        </w:rPr>
        <w:t>ClearSight</w:t>
      </w:r>
      <w:proofErr w:type="spellEnd"/>
      <w:r w:rsidRPr="00061DEB">
        <w:rPr>
          <w:rFonts w:ascii="Arial" w:hAnsi="Arial" w:cs="Arial"/>
          <w:color w:val="000000"/>
          <w:sz w:val="24"/>
          <w:szCs w:val="24"/>
        </w:rPr>
        <w:t xml:space="preserve"> system) as below. </w:t>
      </w: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The use of cardiac output monitoring, either invasive or non-invasive, is strongly recommended. </w:t>
      </w:r>
    </w:p>
    <w:p w14:paraId="5B0B6CA1" w14:textId="77777777" w:rsidR="007C265A" w:rsidRPr="00061DEB" w:rsidRDefault="007C265A" w:rsidP="007C265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605341F1" w14:textId="77777777" w:rsidR="007C265A" w:rsidRPr="00061DEB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2. Intraoperative management </w:t>
      </w:r>
    </w:p>
    <w:p w14:paraId="75159224" w14:textId="77777777" w:rsidR="007C265A" w:rsidRPr="00061DEB" w:rsidRDefault="007C265A" w:rsidP="007C265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Protect existing AV fistulae</w:t>
      </w:r>
      <w:r w:rsidRPr="00061DEB">
        <w:rPr>
          <w:rFonts w:ascii="Arial" w:hAnsi="Arial" w:cs="Arial"/>
          <w:color w:val="000000"/>
          <w:sz w:val="24"/>
          <w:szCs w:val="24"/>
        </w:rPr>
        <w:t>: consider wrapping loosely the arm in gamgee. Ensure no drips or BP cuff on AV side.</w:t>
      </w:r>
    </w:p>
    <w:p w14:paraId="579455E1" w14:textId="77777777" w:rsidR="007C265A" w:rsidRPr="00061DEB" w:rsidRDefault="007C265A" w:rsidP="007C265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Peripheral cannulation: </w:t>
      </w:r>
      <w:r w:rsidRPr="00061DEB">
        <w:rPr>
          <w:rFonts w:ascii="Arial" w:hAnsi="Arial" w:cs="Arial"/>
          <w:color w:val="000000"/>
          <w:sz w:val="24"/>
          <w:szCs w:val="24"/>
        </w:rPr>
        <w:t>if multiple options, avoid obvious sites for future fistulae, such as the cephalic vein at the wrist or elbow crease. Start with small-bore IV access, then large-bore peripheral IV cannula after induction.</w:t>
      </w:r>
    </w:p>
    <w:p w14:paraId="70AF7AAB" w14:textId="699FC625" w:rsidR="007C265A" w:rsidRPr="00061DEB" w:rsidRDefault="007C265A" w:rsidP="007C265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Choice of haemodynamic monitoring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: use your clinical judgement on a case-by-case basis and the monitoring tools you are comfortable with. Arterial lines recommended only in high-risk patients as per MDT discussion. Consider </w:t>
      </w:r>
      <w:r w:rsidR="006A3248" w:rsidRPr="00061DEB">
        <w:rPr>
          <w:rFonts w:ascii="Arial" w:hAnsi="Arial" w:cs="Arial"/>
          <w:color w:val="000000"/>
          <w:sz w:val="24"/>
          <w:szCs w:val="24"/>
        </w:rPr>
        <w:t>non-invasive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 cardiac output monitoring for all patients with Edwards </w:t>
      </w:r>
      <w:proofErr w:type="spellStart"/>
      <w:r w:rsidRPr="00061DEB">
        <w:rPr>
          <w:rFonts w:ascii="Arial" w:hAnsi="Arial" w:cs="Arial"/>
          <w:color w:val="000000"/>
          <w:sz w:val="24"/>
          <w:szCs w:val="24"/>
        </w:rPr>
        <w:t>ClearSight</w:t>
      </w:r>
      <w:proofErr w:type="spellEnd"/>
      <w:r w:rsidRPr="00061DEB">
        <w:rPr>
          <w:rFonts w:ascii="Arial" w:hAnsi="Arial" w:cs="Arial"/>
          <w:color w:val="000000"/>
          <w:sz w:val="24"/>
          <w:szCs w:val="24"/>
        </w:rPr>
        <w:t xml:space="preserve"> system that is now available in all theatre suites and allows close BP monitoring and goal directed fluid therapy. Oesophageal doppler still available if needed.</w:t>
      </w:r>
    </w:p>
    <w:p w14:paraId="1701DB79" w14:textId="4DE56EF8" w:rsidR="007C265A" w:rsidRPr="00061DEB" w:rsidRDefault="007C265A" w:rsidP="007C265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Central lines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: consider CVP lines if there is an anticipated need for </w:t>
      </w: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noradrenaline infusion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 intraoperatively. Existing haemodialysis lines may be used in case of poor access or if an emergency occurs. Remember they are all </w:t>
      </w:r>
      <w:r w:rsidR="006A3248" w:rsidRPr="00061DEB">
        <w:rPr>
          <w:rFonts w:ascii="Arial" w:hAnsi="Arial" w:cs="Arial"/>
          <w:b/>
          <w:bCs/>
          <w:color w:val="000000"/>
          <w:sz w:val="24"/>
          <w:szCs w:val="24"/>
        </w:rPr>
        <w:t>heparin locked</w:t>
      </w:r>
      <w:r w:rsidRPr="00061DEB">
        <w:rPr>
          <w:rFonts w:ascii="Arial" w:hAnsi="Arial" w:cs="Arial"/>
          <w:color w:val="000000"/>
          <w:sz w:val="24"/>
          <w:szCs w:val="24"/>
        </w:rPr>
        <w:t>. Aspirate 3-5 mL of blood from port before use; re-lock with heparin after use.</w:t>
      </w:r>
    </w:p>
    <w:p w14:paraId="3D4D736B" w14:textId="77777777" w:rsidR="007C265A" w:rsidRPr="00061DEB" w:rsidRDefault="007C265A" w:rsidP="007C265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>Vascaths are not required routinely unless discussed previously at the briefing or indicated on the MDT PLAN.</w:t>
      </w:r>
    </w:p>
    <w:p w14:paraId="5F51AE21" w14:textId="77777777" w:rsidR="007C265A" w:rsidRPr="00061DEB" w:rsidRDefault="007C265A" w:rsidP="007C265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Train-of-four monitoring</w:t>
      </w:r>
      <w:r w:rsidRPr="00061DEB">
        <w:rPr>
          <w:rFonts w:ascii="Arial" w:hAnsi="Arial" w:cs="Arial"/>
          <w:color w:val="000000"/>
          <w:sz w:val="24"/>
          <w:szCs w:val="24"/>
        </w:rPr>
        <w:t>: essential. Serious incidents have occurred with vessel lacerations due to inadequate neuromuscular blockade.</w:t>
      </w:r>
    </w:p>
    <w:p w14:paraId="0E429253" w14:textId="1BD7F205" w:rsidR="007C265A" w:rsidRDefault="007C265A" w:rsidP="005E63F5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color w:val="000000"/>
          <w:sz w:val="24"/>
          <w:szCs w:val="24"/>
        </w:rPr>
        <w:t xml:space="preserve">Maintain </w:t>
      </w: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normothermia 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(Bair Hugger, fluid warmer). Continuous temperature monitoring. </w:t>
      </w:r>
    </w:p>
    <w:p w14:paraId="4951B4BE" w14:textId="77777777" w:rsidR="005E63F5" w:rsidRPr="005E63F5" w:rsidRDefault="005E63F5" w:rsidP="005E63F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2AF4381F" w14:textId="77777777" w:rsidR="007C265A" w:rsidRPr="00061DEB" w:rsidRDefault="007C265A" w:rsidP="007C265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360"/>
        <w:jc w:val="both"/>
        <w:rPr>
          <w:rFonts w:ascii="Arial" w:hAnsi="Arial" w:cs="Arial"/>
          <w:color w:val="000000"/>
          <w:sz w:val="24"/>
          <w:szCs w:val="24"/>
          <w:lang w:val="it-IT"/>
        </w:rPr>
      </w:pPr>
      <w:r w:rsidRPr="00061DEB">
        <w:rPr>
          <w:rFonts w:ascii="Arial" w:hAnsi="Arial" w:cs="Arial"/>
          <w:color w:val="000000"/>
          <w:sz w:val="24"/>
          <w:szCs w:val="24"/>
        </w:rPr>
        <w:t xml:space="preserve"> </w:t>
      </w: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Induction </w:t>
      </w:r>
    </w:p>
    <w:p w14:paraId="7619B90D" w14:textId="77777777" w:rsidR="007C265A" w:rsidRPr="00061DEB" w:rsidRDefault="007C265A" w:rsidP="007C265A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Propofol + fentanyl appropriate for most cases</w:t>
      </w:r>
      <w:r w:rsidRPr="00061DEB">
        <w:rPr>
          <w:rFonts w:ascii="Arial" w:hAnsi="Arial" w:cs="Arial"/>
          <w:color w:val="000000"/>
        </w:rPr>
        <w:t xml:space="preserve">; consider possibility of haemodynamic instability at induction and titrate induction drugs accordingly. </w:t>
      </w:r>
    </w:p>
    <w:p w14:paraId="53DD25FA" w14:textId="77777777" w:rsidR="007C265A" w:rsidRPr="00061DEB" w:rsidRDefault="007C265A" w:rsidP="007C265A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Atracurium</w:t>
      </w:r>
      <w:r w:rsidRPr="00061DEB">
        <w:rPr>
          <w:rFonts w:ascii="Arial" w:hAnsi="Arial" w:cs="Arial"/>
          <w:color w:val="000000"/>
        </w:rPr>
        <w:t xml:space="preserve"> and </w:t>
      </w:r>
      <w:r w:rsidRPr="00061DEB">
        <w:rPr>
          <w:rFonts w:ascii="Arial" w:hAnsi="Arial" w:cs="Arial"/>
          <w:b/>
        </w:rPr>
        <w:t>Rocuronium</w:t>
      </w:r>
      <w:r w:rsidRPr="00061DEB">
        <w:rPr>
          <w:rFonts w:ascii="Arial" w:hAnsi="Arial" w:cs="Arial"/>
          <w:color w:val="000000"/>
        </w:rPr>
        <w:t xml:space="preserve"> can be both used. </w:t>
      </w:r>
      <w:proofErr w:type="spellStart"/>
      <w:r w:rsidRPr="00061DEB">
        <w:rPr>
          <w:rFonts w:ascii="Arial" w:hAnsi="Arial" w:cs="Arial"/>
          <w:color w:val="000000"/>
        </w:rPr>
        <w:t>Sugammadex</w:t>
      </w:r>
      <w:proofErr w:type="spellEnd"/>
      <w:r w:rsidRPr="00061DEB">
        <w:rPr>
          <w:rFonts w:ascii="Arial" w:hAnsi="Arial" w:cs="Arial"/>
          <w:color w:val="000000"/>
        </w:rPr>
        <w:t xml:space="preserve"> can be used at normal dosages for rocuronium reversal. </w:t>
      </w:r>
      <w:r w:rsidRPr="006A3248">
        <w:rPr>
          <w:rFonts w:ascii="Arial" w:hAnsi="Arial" w:cs="Arial"/>
          <w:b/>
          <w:bCs/>
          <w:color w:val="000000"/>
          <w:u w:val="single"/>
        </w:rPr>
        <w:t xml:space="preserve">Avoid </w:t>
      </w:r>
      <w:proofErr w:type="spellStart"/>
      <w:r w:rsidRPr="006A3248">
        <w:rPr>
          <w:rFonts w:ascii="Arial" w:hAnsi="Arial" w:cs="Arial"/>
          <w:b/>
          <w:bCs/>
          <w:color w:val="000000"/>
          <w:u w:val="single"/>
        </w:rPr>
        <w:t>suxamethonium</w:t>
      </w:r>
      <w:proofErr w:type="spellEnd"/>
      <w:r w:rsidRPr="00061DEB">
        <w:rPr>
          <w:rFonts w:ascii="Arial" w:hAnsi="Arial" w:cs="Arial"/>
          <w:color w:val="000000"/>
        </w:rPr>
        <w:t xml:space="preserve"> </w:t>
      </w:r>
    </w:p>
    <w:p w14:paraId="6606C434" w14:textId="77777777" w:rsidR="007C265A" w:rsidRPr="00061DEB" w:rsidRDefault="007C265A" w:rsidP="007C265A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1068"/>
        <w:jc w:val="both"/>
        <w:rPr>
          <w:rFonts w:ascii="Arial" w:hAnsi="Arial" w:cs="Arial"/>
          <w:color w:val="000000"/>
        </w:rPr>
      </w:pPr>
    </w:p>
    <w:p w14:paraId="2CA1FDAC" w14:textId="77777777" w:rsidR="007C265A" w:rsidRPr="00061DEB" w:rsidRDefault="007C265A" w:rsidP="007C265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ind w:left="426"/>
        <w:jc w:val="both"/>
        <w:rPr>
          <w:rFonts w:ascii="Arial" w:hAnsi="Arial" w:cs="Arial"/>
          <w:b/>
          <w:iCs/>
          <w:color w:val="000000"/>
        </w:rPr>
      </w:pPr>
      <w:r w:rsidRPr="00061DEB">
        <w:rPr>
          <w:rFonts w:ascii="Arial" w:hAnsi="Arial" w:cs="Arial"/>
          <w:b/>
          <w:iCs/>
          <w:color w:val="000000"/>
        </w:rPr>
        <w:t xml:space="preserve">Maintenance </w:t>
      </w:r>
    </w:p>
    <w:p w14:paraId="5D8D6FD9" w14:textId="77777777" w:rsidR="007C265A" w:rsidRPr="00061DEB" w:rsidRDefault="007C265A" w:rsidP="007C265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ind w:left="426"/>
        <w:jc w:val="both"/>
        <w:rPr>
          <w:rFonts w:ascii="Arial" w:hAnsi="Arial" w:cs="Arial"/>
          <w:b/>
          <w:color w:val="000000"/>
        </w:rPr>
      </w:pPr>
    </w:p>
    <w:p w14:paraId="1608B2CC" w14:textId="77777777" w:rsidR="007C265A" w:rsidRPr="00061DEB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Sevoflurane </w:t>
      </w:r>
      <w:r w:rsidRPr="00061DEB">
        <w:rPr>
          <w:rFonts w:ascii="Arial" w:hAnsi="Arial" w:cs="Arial"/>
          <w:color w:val="000000"/>
        </w:rPr>
        <w:t xml:space="preserve">+/- </w:t>
      </w:r>
      <w:proofErr w:type="gramStart"/>
      <w:r w:rsidRPr="00061DEB">
        <w:rPr>
          <w:rFonts w:ascii="Arial" w:hAnsi="Arial" w:cs="Arial"/>
          <w:color w:val="000000"/>
        </w:rPr>
        <w:t>N</w:t>
      </w:r>
      <w:r w:rsidRPr="00061DEB">
        <w:rPr>
          <w:rFonts w:ascii="Arial" w:hAnsi="Arial" w:cs="Arial"/>
          <w:color w:val="000000"/>
          <w:position w:val="-6"/>
        </w:rPr>
        <w:t>2</w:t>
      </w:r>
      <w:r w:rsidRPr="00061DEB">
        <w:rPr>
          <w:rFonts w:ascii="Arial" w:hAnsi="Arial" w:cs="Arial"/>
          <w:color w:val="000000"/>
        </w:rPr>
        <w:t>O;</w:t>
      </w:r>
      <w:proofErr w:type="gramEnd"/>
      <w:r w:rsidRPr="00061DEB">
        <w:rPr>
          <w:rFonts w:ascii="Arial" w:hAnsi="Arial" w:cs="Arial"/>
          <w:color w:val="000000"/>
        </w:rPr>
        <w:t xml:space="preserve"> </w:t>
      </w:r>
    </w:p>
    <w:p w14:paraId="66C00337" w14:textId="77777777" w:rsidR="007C265A" w:rsidRPr="00061DEB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color w:val="000000"/>
        </w:rPr>
        <w:t xml:space="preserve">Keep </w:t>
      </w:r>
      <w:proofErr w:type="spellStart"/>
      <w:r w:rsidRPr="00061DEB">
        <w:rPr>
          <w:rFonts w:ascii="Arial" w:hAnsi="Arial" w:cs="Arial"/>
          <w:b/>
          <w:bCs/>
          <w:color w:val="000000"/>
        </w:rPr>
        <w:t>FiO</w:t>
      </w:r>
      <w:proofErr w:type="spellEnd"/>
      <w:r w:rsidRPr="00061DEB">
        <w:rPr>
          <w:rFonts w:ascii="Arial" w:hAnsi="Arial" w:cs="Arial"/>
          <w:b/>
          <w:bCs/>
          <w:color w:val="000000"/>
          <w:position w:val="-6"/>
        </w:rPr>
        <w:t xml:space="preserve">2 </w:t>
      </w:r>
      <w:r w:rsidRPr="00061DEB">
        <w:rPr>
          <w:rFonts w:ascii="Arial" w:hAnsi="Arial" w:cs="Arial"/>
          <w:b/>
          <w:bCs/>
          <w:color w:val="000000"/>
        </w:rPr>
        <w:t>around 0.5</w:t>
      </w:r>
      <w:r w:rsidRPr="00061DEB">
        <w:rPr>
          <w:rFonts w:ascii="Arial" w:hAnsi="Arial" w:cs="Arial"/>
          <w:color w:val="000000"/>
        </w:rPr>
        <w:t>, especially if IHD/reduced O</w:t>
      </w:r>
      <w:r w:rsidRPr="00061DEB">
        <w:rPr>
          <w:rFonts w:ascii="Arial" w:hAnsi="Arial" w:cs="Arial"/>
          <w:color w:val="000000"/>
          <w:position w:val="-6"/>
        </w:rPr>
        <w:t xml:space="preserve">2 </w:t>
      </w:r>
      <w:r w:rsidRPr="00061DEB">
        <w:rPr>
          <w:rFonts w:ascii="Arial" w:hAnsi="Arial" w:cs="Arial"/>
          <w:color w:val="000000"/>
        </w:rPr>
        <w:t>carrying capacity.</w:t>
      </w:r>
    </w:p>
    <w:p w14:paraId="6F483D47" w14:textId="77777777" w:rsidR="007C265A" w:rsidRPr="00061DEB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Further neuromuscular blocking drugs </w:t>
      </w:r>
      <w:r w:rsidRPr="00061DEB">
        <w:rPr>
          <w:rFonts w:ascii="Arial" w:hAnsi="Arial" w:cs="Arial"/>
          <w:color w:val="000000"/>
        </w:rPr>
        <w:t xml:space="preserve">as directed by nerve stimulator. Aim for TOF &lt; 1. </w:t>
      </w:r>
    </w:p>
    <w:p w14:paraId="4163C700" w14:textId="77777777" w:rsidR="007C265A" w:rsidRPr="00061DEB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Fentanyl </w:t>
      </w:r>
      <w:r w:rsidRPr="00061DEB">
        <w:rPr>
          <w:rFonts w:ascii="Arial" w:hAnsi="Arial" w:cs="Arial"/>
          <w:color w:val="000000"/>
        </w:rPr>
        <w:t>and</w:t>
      </w:r>
      <w:r w:rsidRPr="00061DEB">
        <w:rPr>
          <w:rFonts w:ascii="Arial" w:hAnsi="Arial" w:cs="Arial"/>
          <w:b/>
          <w:bCs/>
          <w:color w:val="000000"/>
        </w:rPr>
        <w:t xml:space="preserve"> paracetamol </w:t>
      </w:r>
      <w:r w:rsidRPr="00061DEB">
        <w:rPr>
          <w:rFonts w:ascii="Arial" w:hAnsi="Arial" w:cs="Arial"/>
          <w:color w:val="000000"/>
        </w:rPr>
        <w:t>for analgesia.</w:t>
      </w:r>
    </w:p>
    <w:p w14:paraId="2BD62EBB" w14:textId="77777777" w:rsidR="007C265A" w:rsidRPr="00061DEB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Consider TIVA </w:t>
      </w:r>
      <w:r w:rsidRPr="00061DEB">
        <w:rPr>
          <w:rFonts w:ascii="Arial" w:hAnsi="Arial" w:cs="Arial"/>
          <w:bCs/>
          <w:color w:val="000000"/>
        </w:rPr>
        <w:t>if confident but be aware of possible haemodynamic instability and the need of maintaining good MAP.</w:t>
      </w:r>
    </w:p>
    <w:p w14:paraId="52CB8CB5" w14:textId="77777777" w:rsidR="007C265A" w:rsidRPr="00061DEB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b/>
          <w:color w:val="000000"/>
          <w:u w:val="single"/>
        </w:rPr>
      </w:pPr>
      <w:r w:rsidRPr="00061DEB">
        <w:rPr>
          <w:rFonts w:ascii="Arial" w:hAnsi="Arial" w:cs="Arial"/>
          <w:b/>
          <w:color w:val="000000"/>
        </w:rPr>
        <w:t>It’s essential for transplant patients to maintain good perfusion pressure throughout anaesthesia. Aim for a higher MAP target of not less than 20% than the baseline (always</w:t>
      </w:r>
      <w:r w:rsidRPr="00061DEB">
        <w:rPr>
          <w:rFonts w:ascii="Arial" w:hAnsi="Arial" w:cs="Arial"/>
          <w:b/>
          <w:color w:val="000000"/>
          <w:u w:val="single"/>
        </w:rPr>
        <w:t xml:space="preserve"> </w:t>
      </w:r>
      <w:r w:rsidRPr="00061DEB">
        <w:rPr>
          <w:rFonts w:ascii="Arial" w:hAnsi="Arial" w:cs="Arial"/>
          <w:b/>
          <w:color w:val="000000"/>
        </w:rPr>
        <w:t>more than 70-75mmHg).</w:t>
      </w:r>
    </w:p>
    <w:p w14:paraId="22B24691" w14:textId="1A1A7A4C" w:rsidR="007C265A" w:rsidRDefault="007C265A" w:rsidP="007C265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80" w:lineRule="atLeast"/>
        <w:ind w:left="1066" w:hanging="357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Blood </w:t>
      </w:r>
      <w:r w:rsidRPr="00061DEB">
        <w:rPr>
          <w:rFonts w:ascii="Arial" w:hAnsi="Arial" w:cs="Arial"/>
          <w:color w:val="000000"/>
        </w:rPr>
        <w:t>If indicated (as above), use venous gas/</w:t>
      </w:r>
      <w:r w:rsidR="005E63F5">
        <w:rPr>
          <w:rFonts w:ascii="Arial" w:hAnsi="Arial" w:cs="Arial"/>
          <w:color w:val="000000"/>
        </w:rPr>
        <w:t xml:space="preserve"> </w:t>
      </w:r>
      <w:r w:rsidRPr="00061DEB">
        <w:rPr>
          <w:rFonts w:ascii="Arial" w:hAnsi="Arial" w:cs="Arial"/>
          <w:color w:val="000000"/>
        </w:rPr>
        <w:t>H</w:t>
      </w:r>
      <w:r w:rsidR="006A3248">
        <w:rPr>
          <w:rFonts w:ascii="Arial" w:hAnsi="Arial" w:cs="Arial"/>
          <w:color w:val="000000"/>
        </w:rPr>
        <w:t>a</w:t>
      </w:r>
      <w:r w:rsidRPr="00061DEB">
        <w:rPr>
          <w:rFonts w:ascii="Arial" w:hAnsi="Arial" w:cs="Arial"/>
          <w:color w:val="000000"/>
        </w:rPr>
        <w:t>emocue for Hb readings as needed.</w:t>
      </w:r>
    </w:p>
    <w:p w14:paraId="12D86A65" w14:textId="37DA90EF" w:rsidR="00D261DB" w:rsidRDefault="005E63F5" w:rsidP="00D26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Arial" w:hAnsi="Arial" w:cs="Arial"/>
          <w:b/>
          <w:bCs/>
          <w:color w:val="000000"/>
        </w:rPr>
        <w:t xml:space="preserve">    </w:t>
      </w:r>
      <w:r w:rsidR="00D261DB">
        <w:rPr>
          <w:rStyle w:val="normaltextrun"/>
          <w:rFonts w:ascii="Arial" w:hAnsi="Arial" w:cs="Arial"/>
          <w:b/>
          <w:bCs/>
          <w:color w:val="000000"/>
        </w:rPr>
        <w:t>Intraoperative Fluid Management</w:t>
      </w:r>
      <w:r w:rsidR="00D261DB">
        <w:rPr>
          <w:rStyle w:val="eop"/>
          <w:rFonts w:ascii="Arial" w:hAnsi="Arial" w:cs="Arial"/>
          <w:color w:val="000000"/>
        </w:rPr>
        <w:t> </w:t>
      </w:r>
    </w:p>
    <w:p w14:paraId="4913DD38" w14:textId="77777777" w:rsidR="005E63F5" w:rsidRDefault="005E63F5" w:rsidP="00D261DB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000000"/>
        </w:rPr>
      </w:pPr>
    </w:p>
    <w:p w14:paraId="03B8007B" w14:textId="55D5685C" w:rsidR="005E63F5" w:rsidRDefault="005E63F5" w:rsidP="00D261DB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</w:rPr>
        <w:t xml:space="preserve">    </w:t>
      </w:r>
      <w:r w:rsidR="00D261DB">
        <w:rPr>
          <w:rStyle w:val="normaltextrun"/>
          <w:rFonts w:ascii="Arial" w:hAnsi="Arial" w:cs="Arial"/>
          <w:color w:val="000000"/>
        </w:rPr>
        <w:t>Guided by invasive</w:t>
      </w:r>
      <w:r>
        <w:rPr>
          <w:rStyle w:val="normaltextrun"/>
          <w:rFonts w:ascii="Arial" w:hAnsi="Arial" w:cs="Arial"/>
          <w:color w:val="000000"/>
        </w:rPr>
        <w:t xml:space="preserve"> </w:t>
      </w:r>
      <w:r w:rsidR="00D261DB">
        <w:rPr>
          <w:rStyle w:val="normaltextrun"/>
          <w:rFonts w:ascii="Arial" w:hAnsi="Arial" w:cs="Arial"/>
          <w:color w:val="000000"/>
        </w:rPr>
        <w:t>(</w:t>
      </w:r>
      <w:proofErr w:type="spellStart"/>
      <w:r w:rsidR="00D261DB">
        <w:rPr>
          <w:rStyle w:val="normaltextrun"/>
          <w:rFonts w:ascii="Arial" w:hAnsi="Arial" w:cs="Arial"/>
          <w:color w:val="000000"/>
        </w:rPr>
        <w:t>FlowTrac</w:t>
      </w:r>
      <w:proofErr w:type="spellEnd"/>
      <w:r w:rsidR="00D261DB">
        <w:rPr>
          <w:rStyle w:val="normaltextrun"/>
          <w:rFonts w:ascii="Arial" w:hAnsi="Arial" w:cs="Arial"/>
          <w:color w:val="000000"/>
        </w:rPr>
        <w:t xml:space="preserve"> /Oesophageal doppler) or non</w:t>
      </w:r>
      <w:r>
        <w:rPr>
          <w:rStyle w:val="normaltextrun"/>
          <w:rFonts w:ascii="Arial" w:hAnsi="Arial" w:cs="Arial"/>
          <w:color w:val="000000"/>
        </w:rPr>
        <w:t>-</w:t>
      </w:r>
      <w:r w:rsidR="00D261DB">
        <w:rPr>
          <w:rStyle w:val="normaltextrun"/>
          <w:rFonts w:ascii="Arial" w:hAnsi="Arial" w:cs="Arial"/>
          <w:color w:val="000000"/>
        </w:rPr>
        <w:t>invasive (Edwards</w:t>
      </w:r>
    </w:p>
    <w:p w14:paraId="1376607D" w14:textId="44F7145F" w:rsidR="00D261DB" w:rsidRDefault="00D261DB" w:rsidP="00D261D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</w:rPr>
        <w:t xml:space="preserve"> </w:t>
      </w:r>
      <w:r w:rsidR="005E63F5">
        <w:rPr>
          <w:rStyle w:val="normaltextrun"/>
          <w:rFonts w:ascii="Arial" w:hAnsi="Arial" w:cs="Arial"/>
          <w:color w:val="000000"/>
        </w:rPr>
        <w:t xml:space="preserve">   </w:t>
      </w:r>
      <w:proofErr w:type="spellStart"/>
      <w:r>
        <w:rPr>
          <w:rStyle w:val="normaltextrun"/>
          <w:rFonts w:ascii="Arial" w:hAnsi="Arial" w:cs="Arial"/>
          <w:color w:val="000000"/>
        </w:rPr>
        <w:t>ClearSite</w:t>
      </w:r>
      <w:proofErr w:type="spellEnd"/>
      <w:r>
        <w:rPr>
          <w:rStyle w:val="normaltextrun"/>
          <w:rFonts w:ascii="Arial" w:hAnsi="Arial" w:cs="Arial"/>
          <w:color w:val="000000"/>
        </w:rPr>
        <w:t xml:space="preserve"> System) cardiac output monitoring. </w:t>
      </w:r>
      <w:r>
        <w:rPr>
          <w:rStyle w:val="eop"/>
          <w:rFonts w:ascii="Arial" w:hAnsi="Arial" w:cs="Arial"/>
          <w:color w:val="000000"/>
        </w:rPr>
        <w:t> </w:t>
      </w:r>
    </w:p>
    <w:p w14:paraId="76A24917" w14:textId="77777777" w:rsidR="005E63F5" w:rsidRDefault="005E63F5" w:rsidP="00D26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3F604CF0" w14:textId="2DE5C0CC" w:rsidR="00D261DB" w:rsidRDefault="00D261DB" w:rsidP="005E63F5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color w:val="000000"/>
        </w:rPr>
        <w:t>Clinician Bolus</w:t>
      </w:r>
      <w:r>
        <w:rPr>
          <w:rStyle w:val="normaltextrun"/>
          <w:rFonts w:ascii="Arial" w:hAnsi="Arial" w:cs="Arial"/>
          <w:color w:val="000000"/>
        </w:rPr>
        <w:t xml:space="preserve"> – 500ml of Compound Sodium Lactate at the start of pr</w:t>
      </w:r>
      <w:r w:rsidR="005E63F5">
        <w:rPr>
          <w:rStyle w:val="normaltextrun"/>
          <w:rFonts w:ascii="Arial" w:hAnsi="Arial" w:cs="Arial"/>
          <w:color w:val="000000"/>
        </w:rPr>
        <w:t>o</w:t>
      </w:r>
      <w:r>
        <w:rPr>
          <w:rStyle w:val="normaltextrun"/>
          <w:rFonts w:ascii="Arial" w:hAnsi="Arial" w:cs="Arial"/>
          <w:color w:val="000000"/>
        </w:rPr>
        <w:t>cedure.</w:t>
      </w:r>
      <w:r>
        <w:rPr>
          <w:rStyle w:val="eop"/>
          <w:rFonts w:ascii="Arial" w:hAnsi="Arial" w:cs="Arial"/>
          <w:color w:val="000000"/>
        </w:rPr>
        <w:t> </w:t>
      </w:r>
    </w:p>
    <w:p w14:paraId="6C746F7F" w14:textId="1C3EB77E" w:rsidR="00D261DB" w:rsidRDefault="00D261DB" w:rsidP="005E63F5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color w:val="000000"/>
        </w:rPr>
        <w:t xml:space="preserve">Maintenance fluid </w:t>
      </w:r>
      <w:r>
        <w:rPr>
          <w:rStyle w:val="normaltextrun"/>
          <w:rFonts w:ascii="Arial" w:hAnsi="Arial" w:cs="Arial"/>
          <w:color w:val="000000"/>
        </w:rPr>
        <w:t>of Comp</w:t>
      </w:r>
      <w:r w:rsidR="005E63F5">
        <w:rPr>
          <w:rStyle w:val="normaltextrun"/>
          <w:rFonts w:ascii="Arial" w:hAnsi="Arial" w:cs="Arial"/>
          <w:color w:val="000000"/>
        </w:rPr>
        <w:t>o</w:t>
      </w:r>
      <w:r>
        <w:rPr>
          <w:rStyle w:val="normaltextrun"/>
          <w:rFonts w:ascii="Arial" w:hAnsi="Arial" w:cs="Arial"/>
          <w:color w:val="000000"/>
        </w:rPr>
        <w:t xml:space="preserve">und Sodium Lactate at rate of 5ml/kg/hr via volumetric pump. </w:t>
      </w:r>
      <w:r>
        <w:rPr>
          <w:rStyle w:val="eop"/>
          <w:rFonts w:ascii="Arial" w:hAnsi="Arial" w:cs="Arial"/>
          <w:color w:val="000000"/>
        </w:rPr>
        <w:t> </w:t>
      </w:r>
    </w:p>
    <w:p w14:paraId="49E652F2" w14:textId="05E505A9" w:rsidR="00D261DB" w:rsidRDefault="00D261DB" w:rsidP="005E63F5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Arial" w:hAnsi="Arial" w:cs="Arial"/>
          <w:color w:val="000000"/>
        </w:rPr>
        <w:t>Further Fluid boluses guided by haemodynamic monitoring as per flow chart</w:t>
      </w:r>
      <w:r w:rsidR="005E63F5">
        <w:rPr>
          <w:rStyle w:val="normaltextrun"/>
          <w:rFonts w:ascii="Arial" w:hAnsi="Arial" w:cs="Arial"/>
          <w:color w:val="000000"/>
        </w:rPr>
        <w:t xml:space="preserve"> (Figure 1).</w:t>
      </w:r>
    </w:p>
    <w:p w14:paraId="7315F67D" w14:textId="77777777" w:rsidR="00D261DB" w:rsidRDefault="00D261DB" w:rsidP="00D261DB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Arial" w:hAnsi="Arial" w:cs="Arial"/>
          <w:color w:val="000000"/>
        </w:rPr>
      </w:pPr>
    </w:p>
    <w:p w14:paraId="5EBCDB25" w14:textId="77777777" w:rsidR="00D261DB" w:rsidRDefault="00D261DB" w:rsidP="00D261DB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Arial" w:hAnsi="Arial" w:cs="Arial"/>
          <w:color w:val="000000"/>
        </w:rPr>
      </w:pPr>
    </w:p>
    <w:p w14:paraId="642AD841" w14:textId="77777777" w:rsidR="00D261DB" w:rsidRDefault="00D261DB" w:rsidP="00D261DB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Arial" w:hAnsi="Arial" w:cs="Arial"/>
          <w:color w:val="000000"/>
        </w:rPr>
      </w:pPr>
    </w:p>
    <w:p w14:paraId="000D7F7B" w14:textId="0FDD97C4" w:rsidR="005E63F5" w:rsidRDefault="005E63F5" w:rsidP="00D261DB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E49E2F6" wp14:editId="4119334C">
            <wp:extent cx="5740400" cy="4305300"/>
            <wp:effectExtent l="0" t="0" r="0" b="0"/>
            <wp:docPr id="7197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38" cy="430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7FDF0" w14:textId="7A46259C" w:rsidR="005E63F5" w:rsidRPr="005E63F5" w:rsidRDefault="005E63F5" w:rsidP="00D261DB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Figure 1: </w:t>
      </w:r>
      <w:r w:rsidR="006D031F">
        <w:rPr>
          <w:rFonts w:ascii="Arial" w:hAnsi="Arial" w:cs="Arial"/>
          <w:i/>
          <w:iCs/>
          <w:color w:val="000000"/>
        </w:rPr>
        <w:t xml:space="preserve">Guide to intraoperative fluid management for renal transplants </w:t>
      </w:r>
    </w:p>
    <w:p w14:paraId="2C49EFEF" w14:textId="77777777" w:rsidR="007C265A" w:rsidRPr="006D031F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6D031F">
        <w:rPr>
          <w:rFonts w:ascii="Arial" w:hAnsi="Arial" w:cs="Arial"/>
          <w:i/>
          <w:iCs/>
          <w:color w:val="000000"/>
          <w:sz w:val="24"/>
          <w:szCs w:val="24"/>
          <w:u w:val="single"/>
        </w:rPr>
        <w:t xml:space="preserve">Other drugs </w:t>
      </w:r>
    </w:p>
    <w:p w14:paraId="2B8673B3" w14:textId="77777777" w:rsidR="007C265A" w:rsidRPr="00061DEB" w:rsidRDefault="007C265A" w:rsidP="007C265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Antibiotics</w:t>
      </w:r>
      <w:r w:rsidRPr="00061DEB">
        <w:rPr>
          <w:rFonts w:ascii="Arial" w:hAnsi="Arial" w:cs="Arial"/>
          <w:color w:val="000000"/>
        </w:rPr>
        <w:t xml:space="preserve">: co-amoxiclav 1.2g IV, alternative protocol for penicillin allergic patients. </w:t>
      </w:r>
    </w:p>
    <w:p w14:paraId="601165A1" w14:textId="05A5BD52" w:rsidR="007C265A" w:rsidRPr="00061DEB" w:rsidRDefault="007C265A" w:rsidP="007C265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Immunosuppressants</w:t>
      </w:r>
      <w:r w:rsidRPr="00061DEB">
        <w:rPr>
          <w:rFonts w:ascii="Arial" w:hAnsi="Arial" w:cs="Arial"/>
          <w:color w:val="000000"/>
        </w:rPr>
        <w:t xml:space="preserve">: renal staff will take to theatre methylprednisolone 500mg and </w:t>
      </w:r>
      <w:proofErr w:type="spellStart"/>
      <w:r w:rsidRPr="00061DEB">
        <w:rPr>
          <w:rFonts w:ascii="Arial" w:hAnsi="Arial" w:cs="Arial"/>
          <w:color w:val="000000"/>
        </w:rPr>
        <w:t>basiliximab</w:t>
      </w:r>
      <w:proofErr w:type="spellEnd"/>
      <w:r w:rsidRPr="00061DEB">
        <w:rPr>
          <w:rFonts w:ascii="Arial" w:hAnsi="Arial" w:cs="Arial"/>
          <w:color w:val="000000"/>
        </w:rPr>
        <w:t xml:space="preserve"> 20 mg for IV administration. Both must have been given by the time the kidney is re</w:t>
      </w:r>
      <w:r w:rsidR="006A3248">
        <w:rPr>
          <w:rFonts w:ascii="Arial" w:hAnsi="Arial" w:cs="Arial"/>
          <w:color w:val="000000"/>
        </w:rPr>
        <w:t>-</w:t>
      </w:r>
      <w:r w:rsidRPr="00061DEB">
        <w:rPr>
          <w:rFonts w:ascii="Arial" w:hAnsi="Arial" w:cs="Arial"/>
          <w:color w:val="000000"/>
        </w:rPr>
        <w:t>perfused (best given after induction). Check against prescription/discuss with surgeon/nephrologists if drugs brought to theatre with the patient differ from the above protocol.</w:t>
      </w:r>
    </w:p>
    <w:p w14:paraId="1674B5E5" w14:textId="77777777" w:rsidR="007C265A" w:rsidRPr="00061DEB" w:rsidRDefault="007C265A" w:rsidP="007C265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Heparin/mannitol </w:t>
      </w:r>
      <w:r w:rsidRPr="00061DEB">
        <w:rPr>
          <w:rFonts w:ascii="Arial" w:hAnsi="Arial" w:cs="Arial"/>
          <w:color w:val="000000"/>
        </w:rPr>
        <w:t>may be requested by the surgeon depending on circumstances; ideally, discuss at theatre briefing.</w:t>
      </w:r>
    </w:p>
    <w:p w14:paraId="1672D4F5" w14:textId="77777777" w:rsidR="007C265A" w:rsidRPr="00061DEB" w:rsidRDefault="007C265A" w:rsidP="007C265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color w:val="000000"/>
        </w:rPr>
        <w:t xml:space="preserve">Reversal with neostigmine/glycopyrrolate; </w:t>
      </w:r>
      <w:proofErr w:type="spellStart"/>
      <w:r w:rsidRPr="00061DEB">
        <w:rPr>
          <w:rFonts w:ascii="Arial" w:hAnsi="Arial" w:cs="Arial"/>
          <w:color w:val="000000"/>
        </w:rPr>
        <w:t>sugammadex</w:t>
      </w:r>
      <w:proofErr w:type="spellEnd"/>
      <w:r w:rsidRPr="00061DEB">
        <w:rPr>
          <w:rFonts w:ascii="Arial" w:hAnsi="Arial" w:cs="Arial"/>
          <w:color w:val="000000"/>
        </w:rPr>
        <w:t xml:space="preserve"> at normal dosages if rocuronium has been used.</w:t>
      </w:r>
    </w:p>
    <w:p w14:paraId="4E606869" w14:textId="425C9F85" w:rsidR="007C265A" w:rsidRPr="00061DEB" w:rsidRDefault="007C265A" w:rsidP="007C265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b/>
          <w:bCs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Vasopressors</w:t>
      </w:r>
      <w:r w:rsidRPr="00061DEB">
        <w:rPr>
          <w:rFonts w:ascii="Arial" w:hAnsi="Arial" w:cs="Arial"/>
          <w:color w:val="000000"/>
        </w:rPr>
        <w:t xml:space="preserve">: </w:t>
      </w:r>
      <w:r w:rsidRPr="00061DEB">
        <w:rPr>
          <w:rFonts w:ascii="Arial" w:hAnsi="Arial" w:cs="Arial"/>
          <w:b/>
          <w:bCs/>
          <w:color w:val="000000"/>
        </w:rPr>
        <w:t>do not use metaraminol unless emergency/peri</w:t>
      </w:r>
      <w:r w:rsidR="006A3248">
        <w:rPr>
          <w:rFonts w:ascii="Arial" w:hAnsi="Arial" w:cs="Arial"/>
          <w:b/>
          <w:bCs/>
          <w:color w:val="000000"/>
        </w:rPr>
        <w:t>-</w:t>
      </w:r>
      <w:r w:rsidRPr="00061DEB">
        <w:rPr>
          <w:rFonts w:ascii="Arial" w:hAnsi="Arial" w:cs="Arial"/>
          <w:b/>
          <w:bCs/>
          <w:color w:val="000000"/>
        </w:rPr>
        <w:t xml:space="preserve">arrest. </w:t>
      </w:r>
      <w:r w:rsidRPr="00061DEB">
        <w:rPr>
          <w:rFonts w:ascii="Arial" w:hAnsi="Arial" w:cs="Arial"/>
          <w:color w:val="000000"/>
        </w:rPr>
        <w:t xml:space="preserve">For BP management after adequate fluid amounts given, consider ephedrine bolus </w:t>
      </w:r>
      <w:r w:rsidRPr="00061DEB">
        <w:rPr>
          <w:rFonts w:ascii="Arial" w:hAnsi="Arial" w:cs="Arial"/>
          <w:color w:val="000000"/>
        </w:rPr>
        <w:lastRenderedPageBreak/>
        <w:t xml:space="preserve">or phenylephrine infusion. </w:t>
      </w:r>
    </w:p>
    <w:p w14:paraId="639260D4" w14:textId="77777777" w:rsidR="007C265A" w:rsidRPr="00061DEB" w:rsidRDefault="007C265A" w:rsidP="007C265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b/>
          <w:bCs/>
          <w:color w:val="000000"/>
        </w:rPr>
      </w:pPr>
    </w:p>
    <w:p w14:paraId="0199994F" w14:textId="77777777" w:rsidR="007C265A" w:rsidRPr="00061DEB" w:rsidRDefault="007C265A" w:rsidP="007C265A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b/>
          <w:bCs/>
          <w:color w:val="000000"/>
          <w:sz w:val="24"/>
          <w:szCs w:val="24"/>
        </w:rPr>
        <w:t xml:space="preserve">3. Postoperative management </w:t>
      </w:r>
    </w:p>
    <w:p w14:paraId="7C9B1B93" w14:textId="77777777" w:rsidR="007C265A" w:rsidRPr="00061DEB" w:rsidRDefault="007C265A" w:rsidP="007C265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Fluids and drugs </w:t>
      </w:r>
      <w:r w:rsidRPr="00061DEB">
        <w:rPr>
          <w:rFonts w:ascii="Arial" w:hAnsi="Arial" w:cs="Arial"/>
          <w:color w:val="000000"/>
        </w:rPr>
        <w:t xml:space="preserve">Electronically prescribed via </w:t>
      </w:r>
      <w:proofErr w:type="spellStart"/>
      <w:r w:rsidRPr="00061DEB">
        <w:rPr>
          <w:rFonts w:ascii="Arial" w:hAnsi="Arial" w:cs="Arial"/>
          <w:color w:val="000000"/>
        </w:rPr>
        <w:t>PowerChart</w:t>
      </w:r>
      <w:proofErr w:type="spellEnd"/>
      <w:r w:rsidRPr="00061DEB">
        <w:rPr>
          <w:rFonts w:ascii="Arial" w:hAnsi="Arial" w:cs="Arial"/>
          <w:color w:val="000000"/>
        </w:rPr>
        <w:t xml:space="preserve">. There is an </w:t>
      </w:r>
      <w:r w:rsidRPr="00061DEB">
        <w:rPr>
          <w:rFonts w:ascii="Arial" w:hAnsi="Arial" w:cs="Arial"/>
          <w:b/>
          <w:bCs/>
          <w:color w:val="000000"/>
        </w:rPr>
        <w:t xml:space="preserve">Anaesthesia *Adults* Renal Transplant </w:t>
      </w:r>
      <w:proofErr w:type="spellStart"/>
      <w:r w:rsidRPr="00061DEB">
        <w:rPr>
          <w:rFonts w:ascii="Arial" w:hAnsi="Arial" w:cs="Arial"/>
          <w:b/>
          <w:bCs/>
          <w:color w:val="000000"/>
        </w:rPr>
        <w:t>PowerPlan</w:t>
      </w:r>
      <w:proofErr w:type="spellEnd"/>
      <w:r w:rsidRPr="00061DEB">
        <w:rPr>
          <w:rFonts w:ascii="Arial" w:hAnsi="Arial" w:cs="Arial"/>
          <w:b/>
          <w:bCs/>
          <w:color w:val="000000"/>
        </w:rPr>
        <w:t xml:space="preserve"> </w:t>
      </w:r>
      <w:r w:rsidRPr="00061DEB">
        <w:rPr>
          <w:rFonts w:ascii="Arial" w:hAnsi="Arial" w:cs="Arial"/>
          <w:color w:val="000000"/>
        </w:rPr>
        <w:t xml:space="preserve">on </w:t>
      </w:r>
      <w:proofErr w:type="spellStart"/>
      <w:r w:rsidRPr="00061DEB">
        <w:rPr>
          <w:rFonts w:ascii="Arial" w:hAnsi="Arial" w:cs="Arial"/>
          <w:color w:val="000000"/>
        </w:rPr>
        <w:t>iClip</w:t>
      </w:r>
      <w:proofErr w:type="spellEnd"/>
      <w:r w:rsidRPr="00061DEB">
        <w:rPr>
          <w:rFonts w:ascii="Arial" w:hAnsi="Arial" w:cs="Arial"/>
          <w:color w:val="000000"/>
        </w:rPr>
        <w:t xml:space="preserve"> which includes all the most common drugs and renal transplant-specific fluid replacement. </w:t>
      </w:r>
    </w:p>
    <w:p w14:paraId="657DD93A" w14:textId="77777777" w:rsidR="007C265A" w:rsidRPr="00061DEB" w:rsidRDefault="007C265A" w:rsidP="007C265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color w:val="000000"/>
        </w:rPr>
        <w:t xml:space="preserve">Select drugs and dosages as appropriate. The fluid management protocol is </w:t>
      </w:r>
      <w:r w:rsidRPr="00061DEB">
        <w:rPr>
          <w:rFonts w:ascii="Arial" w:hAnsi="Arial" w:cs="Arial"/>
          <w:b/>
          <w:bCs/>
          <w:color w:val="000000"/>
        </w:rPr>
        <w:t xml:space="preserve">already included </w:t>
      </w:r>
      <w:r w:rsidRPr="00061DEB">
        <w:rPr>
          <w:rFonts w:ascii="Arial" w:hAnsi="Arial" w:cs="Arial"/>
          <w:color w:val="000000"/>
        </w:rPr>
        <w:t>in the ‘Continuous details/infusion instructions’ section of Hartmann’s bags. Ensure other concurrent infusions (e.g., sliding scale) are included when calculating post operative fluid requirements.</w:t>
      </w:r>
    </w:p>
    <w:p w14:paraId="280370FF" w14:textId="77777777" w:rsidR="007C265A" w:rsidRPr="00061DEB" w:rsidRDefault="007C265A" w:rsidP="007C265A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Analgesia protocol </w:t>
      </w:r>
      <w:r w:rsidRPr="00061DEB">
        <w:rPr>
          <w:rFonts w:ascii="Arial" w:hAnsi="Arial" w:cs="Arial"/>
          <w:color w:val="000000"/>
        </w:rPr>
        <w:t xml:space="preserve">- </w:t>
      </w:r>
      <w:r w:rsidRPr="00061DEB">
        <w:rPr>
          <w:rFonts w:ascii="Arial" w:hAnsi="Arial" w:cs="Arial"/>
          <w:b/>
          <w:bCs/>
          <w:color w:val="000000"/>
        </w:rPr>
        <w:t xml:space="preserve">fentanyl or oxycodone PCA + regular paracetamol +/- infusion of 0.125% L-bupivacaine </w:t>
      </w:r>
      <w:r w:rsidRPr="00061DEB">
        <w:rPr>
          <w:rFonts w:ascii="Arial" w:hAnsi="Arial" w:cs="Arial"/>
          <w:color w:val="000000"/>
        </w:rPr>
        <w:t>at 1-13 mL/hour through ‘epidural’ catheter inserted by the surgeon between wound layers (check with surgeon first if they will use it or not).</w:t>
      </w:r>
    </w:p>
    <w:p w14:paraId="10D72EE4" w14:textId="388A59E0" w:rsidR="007C265A" w:rsidRPr="007C6E1E" w:rsidRDefault="007C265A" w:rsidP="007C265A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 xml:space="preserve">Transfer to Champneys ward </w:t>
      </w:r>
      <w:r w:rsidRPr="00061DEB">
        <w:rPr>
          <w:rFonts w:ascii="Arial" w:hAnsi="Arial" w:cs="Arial"/>
          <w:color w:val="000000"/>
        </w:rPr>
        <w:t>when observations in recovery are satisfactory.</w:t>
      </w:r>
    </w:p>
    <w:p w14:paraId="2A2E9162" w14:textId="77777777" w:rsidR="007C265A" w:rsidRPr="00061DEB" w:rsidRDefault="007C265A" w:rsidP="007C265A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Continue O</w:t>
      </w:r>
      <w:r w:rsidRPr="00061DEB">
        <w:rPr>
          <w:rFonts w:ascii="Arial" w:hAnsi="Arial" w:cs="Arial"/>
          <w:b/>
          <w:bCs/>
          <w:color w:val="000000"/>
          <w:position w:val="-6"/>
        </w:rPr>
        <w:t xml:space="preserve">2 </w:t>
      </w:r>
      <w:r w:rsidRPr="00061DEB">
        <w:rPr>
          <w:rFonts w:ascii="Arial" w:hAnsi="Arial" w:cs="Arial"/>
          <w:b/>
          <w:bCs/>
          <w:color w:val="000000"/>
        </w:rPr>
        <w:t xml:space="preserve">therapy </w:t>
      </w:r>
      <w:r w:rsidRPr="00061DEB">
        <w:rPr>
          <w:rFonts w:ascii="Arial" w:hAnsi="Arial" w:cs="Arial"/>
          <w:color w:val="000000"/>
        </w:rPr>
        <w:t>by simple mask/nasal specs whilst patient on PCA.</w:t>
      </w:r>
    </w:p>
    <w:p w14:paraId="578C2B0D" w14:textId="77777777" w:rsidR="007C265A" w:rsidRPr="00061DEB" w:rsidRDefault="007C265A" w:rsidP="007C265A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Arial"/>
          <w:color w:val="000000"/>
        </w:rPr>
      </w:pPr>
      <w:r w:rsidRPr="00061DEB">
        <w:rPr>
          <w:rFonts w:ascii="Arial" w:hAnsi="Arial" w:cs="Arial"/>
          <w:b/>
          <w:bCs/>
          <w:color w:val="000000"/>
        </w:rPr>
        <w:t>Admission to HDU/ITU</w:t>
      </w:r>
      <w:r w:rsidRPr="00061DEB">
        <w:rPr>
          <w:rFonts w:ascii="Arial" w:hAnsi="Arial" w:cs="Arial"/>
          <w:color w:val="000000"/>
        </w:rPr>
        <w:t xml:space="preserve">: Check patient work-up sheet or MDT meeting minutes. If no HDU/ITU bed available, a longer stay in Recovery may be acceptable. </w:t>
      </w:r>
    </w:p>
    <w:p w14:paraId="375C7262" w14:textId="77777777" w:rsidR="007C265A" w:rsidRPr="00061DEB" w:rsidRDefault="007C265A" w:rsidP="007C265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09CD937" w14:textId="77777777" w:rsidR="007C265A" w:rsidRPr="00061DEB" w:rsidRDefault="007C265A" w:rsidP="007C265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2A85D42F" w14:textId="510DEF10" w:rsidR="00233587" w:rsidRDefault="007C265A" w:rsidP="0023358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jc w:val="center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color w:val="000000"/>
          <w:sz w:val="24"/>
          <w:szCs w:val="24"/>
        </w:rPr>
        <w:t xml:space="preserve">Updated by Dr C Bianchi, Dr </w:t>
      </w:r>
      <w:r w:rsidR="00D408EF">
        <w:rPr>
          <w:rFonts w:ascii="Arial" w:hAnsi="Arial" w:cs="Arial"/>
          <w:color w:val="000000"/>
          <w:sz w:val="24"/>
          <w:szCs w:val="24"/>
        </w:rPr>
        <w:t xml:space="preserve">D Cunningham 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&amp; Dr E </w:t>
      </w:r>
      <w:r w:rsidR="00D408EF">
        <w:rPr>
          <w:rFonts w:ascii="Arial" w:hAnsi="Arial" w:cs="Arial"/>
          <w:color w:val="000000"/>
          <w:sz w:val="24"/>
          <w:szCs w:val="24"/>
        </w:rPr>
        <w:t>Loh August 2023</w:t>
      </w:r>
      <w:r w:rsidRPr="00061DE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C45F4FC" w14:textId="0944ABF7" w:rsidR="007C265A" w:rsidRPr="00061DEB" w:rsidRDefault="007C265A" w:rsidP="0023358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jc w:val="center"/>
        <w:rPr>
          <w:rFonts w:ascii="Arial" w:hAnsi="Arial" w:cs="Arial"/>
          <w:color w:val="000000"/>
          <w:sz w:val="24"/>
          <w:szCs w:val="24"/>
        </w:rPr>
      </w:pPr>
      <w:r w:rsidRPr="00061DEB">
        <w:rPr>
          <w:rFonts w:ascii="Arial" w:hAnsi="Arial" w:cs="Arial"/>
          <w:color w:val="000000"/>
          <w:sz w:val="24"/>
          <w:szCs w:val="24"/>
        </w:rPr>
        <w:t>Review date in Oct 2025.</w:t>
      </w:r>
    </w:p>
    <w:p w14:paraId="32D457DE" w14:textId="77777777" w:rsidR="007C265A" w:rsidRPr="00061DEB" w:rsidRDefault="007C265A" w:rsidP="00233587">
      <w:pPr>
        <w:jc w:val="center"/>
        <w:rPr>
          <w:rFonts w:ascii="Arial" w:hAnsi="Arial" w:cs="Arial"/>
          <w:sz w:val="24"/>
          <w:szCs w:val="24"/>
        </w:rPr>
      </w:pPr>
    </w:p>
    <w:p w14:paraId="30535AD0" w14:textId="77777777" w:rsidR="007C265A" w:rsidRPr="00061DEB" w:rsidRDefault="007C265A">
      <w:pPr>
        <w:rPr>
          <w:rFonts w:ascii="Arial" w:hAnsi="Arial" w:cs="Arial"/>
          <w:sz w:val="24"/>
          <w:szCs w:val="24"/>
        </w:rPr>
      </w:pPr>
    </w:p>
    <w:sectPr w:rsidR="007C265A" w:rsidRPr="00061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5D4877"/>
    <w:multiLevelType w:val="hybridMultilevel"/>
    <w:tmpl w:val="2DE40574"/>
    <w:lvl w:ilvl="0" w:tplc="E7AAF7BA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660F38"/>
    <w:multiLevelType w:val="hybridMultilevel"/>
    <w:tmpl w:val="2EDAEB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A5C4C"/>
    <w:multiLevelType w:val="hybridMultilevel"/>
    <w:tmpl w:val="42FAF9DA"/>
    <w:lvl w:ilvl="0" w:tplc="2D848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8197E"/>
    <w:multiLevelType w:val="hybridMultilevel"/>
    <w:tmpl w:val="62A26DA6"/>
    <w:lvl w:ilvl="0" w:tplc="2D848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F1029"/>
    <w:multiLevelType w:val="hybridMultilevel"/>
    <w:tmpl w:val="539CEE52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  <w:i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DF229E1"/>
    <w:multiLevelType w:val="hybridMultilevel"/>
    <w:tmpl w:val="893418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C4FA7"/>
    <w:multiLevelType w:val="hybridMultilevel"/>
    <w:tmpl w:val="D21038DE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1AE01A7"/>
    <w:multiLevelType w:val="multilevel"/>
    <w:tmpl w:val="147C2E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3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2F"/>
    <w:rsid w:val="00001CC5"/>
    <w:rsid w:val="00046433"/>
    <w:rsid w:val="00061DEB"/>
    <w:rsid w:val="001C377B"/>
    <w:rsid w:val="00233587"/>
    <w:rsid w:val="005E63F5"/>
    <w:rsid w:val="006A3248"/>
    <w:rsid w:val="006D031F"/>
    <w:rsid w:val="007C265A"/>
    <w:rsid w:val="007C6E1E"/>
    <w:rsid w:val="008F512F"/>
    <w:rsid w:val="009D3AA9"/>
    <w:rsid w:val="00AE5FF8"/>
    <w:rsid w:val="00B91435"/>
    <w:rsid w:val="00C628D1"/>
    <w:rsid w:val="00D261DB"/>
    <w:rsid w:val="00D408EF"/>
    <w:rsid w:val="00D93B1D"/>
    <w:rsid w:val="00DE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0C6B"/>
  <w15:chartTrackingRefBased/>
  <w15:docId w15:val="{198D172D-FF08-4694-B3A6-B5B0823B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65A"/>
    <w:pPr>
      <w:spacing w:after="0" w:line="240" w:lineRule="auto"/>
      <w:ind w:left="720"/>
      <w:contextualSpacing/>
    </w:pPr>
    <w:rPr>
      <w:rFonts w:eastAsiaTheme="minorEastAsia"/>
      <w:sz w:val="24"/>
      <w:szCs w:val="24"/>
      <w:lang w:eastAsia="it-IT"/>
    </w:rPr>
  </w:style>
  <w:style w:type="paragraph" w:customStyle="1" w:styleId="paragraph">
    <w:name w:val="paragraph"/>
    <w:basedOn w:val="Normal"/>
    <w:rsid w:val="00D26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261DB"/>
  </w:style>
  <w:style w:type="character" w:customStyle="1" w:styleId="eop">
    <w:name w:val="eop"/>
    <w:basedOn w:val="DefaultParagraphFont"/>
    <w:rsid w:val="00D26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Carlotta  Bianchi</dc:creator>
  <cp:keywords/>
  <dc:description/>
  <cp:lastModifiedBy>Carlotta  Bianchi</cp:lastModifiedBy>
  <cp:revision>2</cp:revision>
  <dcterms:created xsi:type="dcterms:W3CDTF">2023-11-16T15:01:00Z</dcterms:created>
  <dcterms:modified xsi:type="dcterms:W3CDTF">2023-11-16T15:01:00Z</dcterms:modified>
</cp:coreProperties>
</file>