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80"/>
        <w:jc w:val="center"/>
      </w:pPr>
      <w:r>
        <w:rPr>
          <w:sz w:val="80"/>
          <w:szCs w:val="80"/>
        </w:rPr>
        <w:t xml:space="preserve">🌿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D6A1F"/>
          <w:sz w:val="72"/>
          <w:szCs w:val="72"/>
        </w:rPr>
        <w:t xml:space="preserve">MedRaiz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D6D7E"/>
          <w:sz w:val="30"/>
          <w:szCs w:val="30"/>
        </w:rPr>
        <w:t xml:space="preserve">Raízes do Saber Clínico</w:t>
      </w:r>
    </w:p>
    <w:p>
      <w:pPr>
        <w:pBdr>
          <w:top w:val="single" w:color="2D6A1F" w:sz="4"/>
          <w:bottom w:val="single" w:color="2D6A1F" w:sz="4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1A2E13"/>
          <w:sz w:val="22"/>
          <w:szCs w:val="22"/>
        </w:rPr>
        <w:t xml:space="preserve">Documento de Requisitos de Produto (PRD) + Especificação Técnica Fullstack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Versão 1.0 — Protótipo Piloto · São José dos Campos, SP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2025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EA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Tutoria IA</w:t>
            </w:r>
          </w:p>
        </w:tc>
        <w:tc>
          <w:tcPr>
            <w:tcW w:type="dxa" w:w="2340"/>
            <w:tcBorders>
              <w:top w:val="single" w:color="4A9B35" w:sz="4"/>
              <w:left w:val="single" w:color="4A9B35" w:sz="4"/>
              <w:bottom w:val="single" w:color="4A9B35" w:sz="4"/>
              <w:right w:val="single" w:color="4A9B35" w:sz="4"/>
            </w:tcBorders>
            <w:shd w:fill="F0F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B35"/>
                <w:sz w:val="18"/>
                <w:szCs w:val="18"/>
              </w:rPr>
              <w:t xml:space="preserve">Casos Clínicos</w:t>
            </w:r>
          </w:p>
        </w:tc>
        <w:tc>
          <w:tcPr>
            <w:tcW w:type="dxa" w:w="234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Calculadoras Neo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API Integrada</w:t>
            </w:r>
          </w:p>
        </w:tc>
      </w:tr>
    </w:tbl>
    <w:p>
      <w:r>
        <w:br w:type="page"/>
      </w: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A2E13"/>
          <w:sz w:val="36"/>
          <w:szCs w:val="36"/>
        </w:rPr>
        <w:t xml:space="preserve">Índice</w:t>
      </w:r>
    </w:p>
    <w:p>
      <w:pPr>
        <w:spacing w:before="40" w:after="60"/>
      </w:pPr>
      <w:r>
        <w:rPr>
          <w:rFonts w:ascii="Arial" w:cs="Arial" w:eastAsia="Arial" w:hAnsi="Arial"/>
          <w:color w:val="2D6A1F"/>
          <w:sz w:val="22"/>
          <w:szCs w:val="22"/>
        </w:rPr>
        <w:t xml:space="preserve">1. Visão Geral da Plataforma</w:t>
      </w:r>
    </w:p>
    <w:p>
      <w:pPr>
        <w:spacing w:before="40" w:after="60"/>
      </w:pPr>
      <w:r>
        <w:rPr>
          <w:rFonts w:ascii="Arial" w:cs="Arial" w:eastAsia="Arial" w:hAnsi="Arial"/>
          <w:color w:val="2D6A1F"/>
          <w:sz w:val="22"/>
          <w:szCs w:val="22"/>
        </w:rPr>
        <w:t xml:space="preserve">2. Funcionalidades Completas do Produto</w:t>
      </w:r>
    </w:p>
    <w:p>
      <w:pPr>
        <w:spacing w:before="40" w:after="60"/>
      </w:pPr>
      <w:r>
        <w:rPr>
          <w:rFonts w:ascii="Arial" w:cs="Arial" w:eastAsia="Arial" w:hAnsi="Arial"/>
          <w:color w:val="2D6A1F"/>
          <w:sz w:val="22"/>
          <w:szCs w:val="22"/>
        </w:rPr>
        <w:t xml:space="preserve">3. Banco de Casos Clínicos — 10 Casos Base</w:t>
      </w:r>
    </w:p>
    <w:p>
      <w:pPr>
        <w:spacing w:before="40" w:after="60"/>
      </w:pPr>
      <w:r>
        <w:rPr>
          <w:rFonts w:ascii="Arial" w:cs="Arial" w:eastAsia="Arial" w:hAnsi="Arial"/>
          <w:color w:val="2D6A1F"/>
          <w:sz w:val="22"/>
          <w:szCs w:val="22"/>
        </w:rPr>
        <w:t xml:space="preserve">4. Tutoria Base — Olfação e Gustação</w:t>
      </w:r>
    </w:p>
    <w:p>
      <w:pPr>
        <w:spacing w:before="40" w:after="60"/>
      </w:pPr>
      <w:r>
        <w:rPr>
          <w:rFonts w:ascii="Arial" w:cs="Arial" w:eastAsia="Arial" w:hAnsi="Arial"/>
          <w:color w:val="2D6A1F"/>
          <w:sz w:val="22"/>
          <w:szCs w:val="22"/>
        </w:rPr>
        <w:t xml:space="preserve">5. Arquitetura Técnica Fullstack</w:t>
      </w:r>
    </w:p>
    <w:p>
      <w:pPr>
        <w:spacing w:before="40" w:after="60"/>
      </w:pPr>
      <w:r>
        <w:rPr>
          <w:rFonts w:ascii="Arial" w:cs="Arial" w:eastAsia="Arial" w:hAnsi="Arial"/>
          <w:color w:val="2D6A1F"/>
          <w:sz w:val="22"/>
          <w:szCs w:val="22"/>
        </w:rPr>
        <w:t xml:space="preserve">6. Integrações e APIs Externas</w:t>
      </w:r>
    </w:p>
    <w:p>
      <w:pPr>
        <w:spacing w:before="40" w:after="60"/>
      </w:pPr>
      <w:r>
        <w:rPr>
          <w:rFonts w:ascii="Arial" w:cs="Arial" w:eastAsia="Arial" w:hAnsi="Arial"/>
          <w:color w:val="2D6A1F"/>
          <w:sz w:val="22"/>
          <w:szCs w:val="22"/>
        </w:rPr>
        <w:t xml:space="preserve">7. Roadmap de Desenvolvimento</w:t>
      </w:r>
    </w:p>
    <w:p>
      <w:pPr>
        <w:spacing w:before="40" w:after="60"/>
      </w:pPr>
      <w:r>
        <w:rPr>
          <w:rFonts w:ascii="Arial" w:cs="Arial" w:eastAsia="Arial" w:hAnsi="Arial"/>
          <w:color w:val="2D6A1F"/>
          <w:sz w:val="22"/>
          <w:szCs w:val="22"/>
        </w:rPr>
        <w:t xml:space="preserve">8. LGPD, Segurança e Responsabilidade Clínica</w:t>
      </w:r>
    </w:p>
    <w:p>
      <w:pPr>
        <w:spacing w:before="40" w:after="60"/>
      </w:pPr>
      <w:r>
        <w:rPr>
          <w:rFonts w:ascii="Arial" w:cs="Arial" w:eastAsia="Arial" w:hAnsi="Arial"/>
          <w:color w:val="2D6A1F"/>
          <w:sz w:val="22"/>
          <w:szCs w:val="22"/>
        </w:rPr>
        <w:t xml:space="preserve">9. Glossário Técnico e Referências</w:t>
      </w:r>
    </w:p>
    <w:p>
      <w:r>
        <w:br w:type="page"/>
      </w:r>
    </w:p>
    <w:p>
      <w:pPr>
        <w:pStyle w:val="Heading1"/>
        <w:pBdr>
          <w:bottom w:val="single" w:color="2D6A1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2E13"/>
          <w:sz w:val="36"/>
          <w:szCs w:val="36"/>
        </w:rPr>
        <w:t xml:space="preserve">1. Visão Geral da Plataforma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1.1 Identidade e Posicionamento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MedRaiz é uma plataforma educacional médica brasileira, focada em estudantes do ciclo básico e clínico de medicina, especialmente em contextos de metodologia ativa (PBL). O nome evoca raízes profundas do conhecimento clínico nacional — uma identidade forte, brasileira e memorável.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MedRaiz — Raízes do Saber Clínico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Estudantes de medicina (ciclo básico e clínico), cursos PBL e tradicionais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Metodologia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Tutoria IA + PBL + Feynman + Pareto + Simulação Clínica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Geração automática de tutoria completa com IA baseada nas referências do curso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São José dos Campos-SP — Fase piloto 2025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Monetização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Freemium: código no livro | Convênio institucional | ProUni/Fies | Assinatura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1.2 Problema que Resolve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Conteúdo disperso entre manuais caros, PDFs e aulas presenciais sem integração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Ausência de ferramentas práticas para habilidades médicas no ambiente digital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Falta de simulação de casos clínicos para treino além da escola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Dificuldade de acesso a tutoria de qualidade para alunos de menor renda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Fragmentação entre teoria (semiologia, fisiologia) e prática (exame físico, RCP)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1.3 Proposta de Valor por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58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58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MedRaiz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Estudante PBL</w:t>
            </w:r>
          </w:p>
        </w:tc>
        <w:tc>
          <w:tcPr>
            <w:tcW w:type="dxa" w:w="35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Síntese provisória difícil de construir</w:t>
            </w:r>
          </w:p>
        </w:tc>
        <w:tc>
          <w:tcPr>
            <w:tcW w:type="dxa" w:w="35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 gera tutoria completa a partir do SP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Estudante tradicional</w:t>
            </w:r>
          </w:p>
        </w:tc>
        <w:tc>
          <w:tcPr>
            <w:tcW w:type="dxa" w:w="35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Questões e flashcards dispersos</w:t>
            </w:r>
          </w:p>
        </w:tc>
        <w:tc>
          <w:tcPr>
            <w:tcW w:type="dxa" w:w="35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Material gerado automaticamente com fontes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Professor</w:t>
            </w:r>
          </w:p>
        </w:tc>
        <w:tc>
          <w:tcPr>
            <w:tcW w:type="dxa" w:w="35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Falta de ferramenta para compartilhar casos</w:t>
            </w:r>
          </w:p>
        </w:tc>
        <w:tc>
          <w:tcPr>
            <w:tcW w:type="dxa" w:w="35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de casos e questões próprias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Escola de medicina</w:t>
            </w:r>
          </w:p>
        </w:tc>
        <w:tc>
          <w:tcPr>
            <w:tcW w:type="dxa" w:w="35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Nenhuma plataforma integra habilidades + teoria</w:t>
            </w:r>
          </w:p>
        </w:tc>
        <w:tc>
          <w:tcPr>
            <w:tcW w:type="dxa" w:w="35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Licença institucional completa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Editora (Porto/Bates)</w:t>
            </w:r>
          </w:p>
        </w:tc>
        <w:tc>
          <w:tcPr>
            <w:tcW w:type="dxa" w:w="35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Livro não tem extensão digital interativa</w:t>
            </w:r>
          </w:p>
        </w:tc>
        <w:tc>
          <w:tcPr>
            <w:tcW w:type="dxa" w:w="35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Código de acesso no livro impresso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1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2E13"/>
          <w:sz w:val="36"/>
          <w:szCs w:val="36"/>
        </w:rPr>
        <w:t xml:space="preserve">2. Funcionalidades Completas do Produto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2.1 Mapa de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5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3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Piloto</w:t>
            </w:r>
          </w:p>
        </w:tc>
      </w:tr>
      <w:tr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Tutoria IA (geração automática de estudo)</w:t>
            </w:r>
          </w:p>
        </w:tc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Implementado</w:t>
            </w:r>
          </w:p>
        </w:tc>
      </w:tr>
      <w:tr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Casos Clínicos — Chat Interativo (10 casos)</w:t>
            </w:r>
          </w:p>
        </w:tc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 + Free (3)</w:t>
            </w:r>
          </w:p>
        </w:tc>
        <w:tc>
          <w:tcPr>
            <w:tcW w:type="dxa" w:w="23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10 casos base</w:t>
            </w:r>
          </w:p>
        </w:tc>
      </w:tr>
      <w:tr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Calculadoras Clínicas (Adulto/Ped/RN/PT)</w:t>
            </w:r>
          </w:p>
        </w:tc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Implementado</w:t>
            </w:r>
          </w:p>
        </w:tc>
      </w:tr>
      <w:tr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Prontuário Digital de Treino</w:t>
            </w:r>
          </w:p>
        </w:tc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Implementado</w:t>
            </w:r>
          </w:p>
        </w:tc>
      </w:tr>
      <w:tr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Ausculta Interativa (Web Audio)</w:t>
            </w:r>
          </w:p>
        </w:tc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8 sons síntese</w:t>
            </w:r>
          </w:p>
        </w:tc>
      </w:tr>
      <w:tr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Banco de Questões — Professor Upload</w:t>
            </w:r>
          </w:p>
        </w:tc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23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⚡ Fase 2</w:t>
            </w:r>
          </w:p>
        </w:tc>
      </w:tr>
      <w:tr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ECG Básico Interativo</w:t>
            </w:r>
          </w:p>
        </w:tc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⚡ Fase 2</w:t>
            </w:r>
          </w:p>
        </w:tc>
      </w:tr>
      <w:tr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Raio-X com Análise Guiada</w:t>
            </w:r>
          </w:p>
        </w:tc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⚡ Fase 3</w:t>
            </w:r>
          </w:p>
        </w:tc>
      </w:tr>
      <w:tr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Mobile (iOS/Android)</w:t>
            </w:r>
          </w:p>
        </w:tc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Todos os planos</w:t>
            </w:r>
          </w:p>
        </w:tc>
        <w:tc>
          <w:tcPr>
            <w:tcW w:type="dxa" w:w="23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⚡ Fase 3</w:t>
            </w:r>
          </w:p>
        </w:tc>
      </w:tr>
      <w:tr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Painel do Professor/Instituição</w:t>
            </w:r>
          </w:p>
        </w:tc>
        <w:tc>
          <w:tcPr>
            <w:tcW w:type="dxa" w:w="3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23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⚡ Fase 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2.2 Tutoria IA — Detalhamento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módulo central do produto. O estudante insere sua síntese provisória, tema do SP ou questões de aprendizagem e seleciona as fontes desejadas. O sistema chama a API Claude para gerar automaticamente: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Tutoria completa (texto rico com fisiologia, fisiopatologia, clínica e relações)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20 questões interativas com feedback por alternativa e citação de fonte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25 flashcards frente/verso para memorização ativa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2–3 quadros comparativos temáticos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Análise Pareto (80/20): top 5 tópicos, Feynman, pegadinhas, glossário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Exportação em TXT (para montagem de documento próprio), HTML e PDF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1F" w:sz="4"/>
              <w:left w:val="single" w:color="2D6A1F" w:sz="20"/>
              <w:bottom w:val="single" w:color="2D6A1F" w:sz="4"/>
              <w:right w:val="single" w:color="2D6A1F" w:sz="4"/>
            </w:tcBorders>
            <w:shd w:fill="F0F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Fluxo do Estudante PBL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Abre SP da semana → 2. Cola síntese provisória + QAs → 3. Seleciona fontes (Guyton, Tortora, Porto…) → 4. Clica em Gerar → 5. Recebe tutoria completa → 6. Exporta em TXT para montar documento → 7. Usa questões e flashcards para revisão → 8. Acessa caso clínico do tema para simular consulta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2.3 Casos Clínicos — Chat Interativo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Simulação conversacional de consulta médica. O estudante conversa diretamente com o "paciente" (IA), faz perguntas de anamnese, solicita exames e conduz o caso como em uma consulta real.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Modo orientado: opção de ativar dica de próximo passo (para iniciantes)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Exames físicos simulados: PA, ausculta, neurológico, ECG, laboratoriais, imagem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Histórico da consulta preservado na sessão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Ao final: feedback do condutor do caso com diagnóstico e conduta esperada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2.4 Calculadoras Clínicas — Alertas em Tempo Real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Parâmetros verificados automaticamente ao digitar, com badge colorido (verde/amarelo/vermelho) e referência da fonte. Perfis disponíveis: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5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 Disponíveis</w:t>
            </w:r>
          </w:p>
        </w:tc>
        <w:tc>
          <w:tcPr>
            <w:tcW w:type="dxa" w:w="26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Adulto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IMC, RCQ, PAM, PA, FC, FR, Temp, SpO₂, Glasgow</w:t>
            </w:r>
          </w:p>
        </w:tc>
        <w:tc>
          <w:tcPr>
            <w:tcW w:type="dxa" w:w="26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OMS / Porto / SBC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Pediátrico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FC, FR, PA por faixa, Peso estimado, Temp</w:t>
            </w:r>
          </w:p>
        </w:tc>
        <w:tc>
          <w:tcPr>
            <w:tcW w:type="dxa" w:w="26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SBP / Nelson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 a Termo (≥37s)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Peso, Comp, PC, PT, Apgar 1/5min, FC, FR, Temp, SpO₂, Glicemia, Bilirrubina</w:t>
            </w:r>
          </w:p>
        </w:tc>
        <w:tc>
          <w:tcPr>
            <w:tcW w:type="dxa" w:w="26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SBP / MS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Pré-Termo (&lt;37s)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IG, Peso, FC, FR, Temp, Glicemia — classificação automatizada</w:t>
            </w:r>
          </w:p>
        </w:tc>
        <w:tc>
          <w:tcPr>
            <w:tcW w:type="dxa" w:w="26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OMS / ACOG / SBP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1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2E13"/>
          <w:sz w:val="36"/>
          <w:szCs w:val="36"/>
        </w:rPr>
        <w:t xml:space="preserve">3. Banco de Casos Clínicos — 10 Casos Base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Todos os casos são baseados nas principais referências bibliográficas adotadas pelos cursos de medicina no Brasil (Porto, Bates, Guyton) e nas diretrizes do Ministério da Saúde e sociedades médicas (SBC, SBP, SBHCI). Cada caso contém: perfil do paciente, sinais vitais, habilidades trabalhadas, objetivo de aprendizagem, diagnóstico esperado e nível de dificuldade.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460"/>
        <w:gridCol w:w="1800"/>
      </w:tblGrid>
      <w:tr>
        <w:trPr>
          <w:tblHeader/>
        </w:trPr>
        <w:tc>
          <w:tcPr>
            <w:tcW w:type="dxa" w:w="6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45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4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18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</w:tr>
      <w:tr>
        <w:tc>
          <w:tcPr>
            <w:tcW w:type="dxa" w:w="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#01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Anosmia Pós-Viral</w:t>
            </w:r>
          </w:p>
        </w:tc>
        <w:tc>
          <w:tcPr>
            <w:tcW w:type="dxa" w:w="24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Mecanismos de Olfação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Moderado</w:t>
            </w:r>
          </w:p>
        </w:tc>
      </w:tr>
      <w:tr>
        <w:tc>
          <w:tcPr>
            <w:tcW w:type="dxa" w:w="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#02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com Dispneia aos Esforços</w:t>
            </w:r>
          </w:p>
        </w:tc>
        <w:tc>
          <w:tcPr>
            <w:tcW w:type="dxa" w:w="24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Semiologia Cardiovascular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Moderado</w:t>
            </w:r>
          </w:p>
        </w:tc>
      </w:tr>
      <w:tr>
        <w:tc>
          <w:tcPr>
            <w:tcW w:type="dxa" w:w="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#03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Pneumonia Adquirida na Comunidade</w:t>
            </w:r>
          </w:p>
        </w:tc>
        <w:tc>
          <w:tcPr>
            <w:tcW w:type="dxa" w:w="24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Semiologia Pulmonar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Iniciante</w:t>
            </w:r>
          </w:p>
        </w:tc>
      </w:tr>
      <w:tr>
        <w:tc>
          <w:tcPr>
            <w:tcW w:type="dxa" w:w="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#04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Cefaleia Thunderclap</w:t>
            </w:r>
          </w:p>
        </w:tc>
        <w:tc>
          <w:tcPr>
            <w:tcW w:type="dxa" w:w="24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Hemorragia Subaracnóidea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Avançado</w:t>
            </w:r>
          </w:p>
        </w:tc>
      </w:tr>
      <w:tr>
        <w:tc>
          <w:tcPr>
            <w:tcW w:type="dxa" w:w="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#05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Síndrome Gripal + Dispneia em Idosa</w:t>
            </w:r>
          </w:p>
        </w:tc>
        <w:tc>
          <w:tcPr>
            <w:tcW w:type="dxa" w:w="24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COVID/Influenza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Avançado</w:t>
            </w:r>
          </w:p>
        </w:tc>
      </w:tr>
      <w:tr>
        <w:tc>
          <w:tcPr>
            <w:tcW w:type="dxa" w:w="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#06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Dor Abdominal Aguda</w:t>
            </w:r>
          </w:p>
        </w:tc>
        <w:tc>
          <w:tcPr>
            <w:tcW w:type="dxa" w:w="24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Apendicite x Diagnóstico Diferencial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Moderado</w:t>
            </w:r>
          </w:p>
        </w:tc>
      </w:tr>
      <w:tr>
        <w:tc>
          <w:tcPr>
            <w:tcW w:type="dxa" w:w="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#07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Acidente Vascular Cerebral Isquêmico</w:t>
            </w:r>
          </w:p>
        </w:tc>
        <w:tc>
          <w:tcPr>
            <w:tcW w:type="dxa" w:w="24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Avançado</w:t>
            </w:r>
          </w:p>
        </w:tc>
      </w:tr>
      <w:tr>
        <w:tc>
          <w:tcPr>
            <w:tcW w:type="dxa" w:w="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#08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Crise Asmática em Criança</w:t>
            </w:r>
          </w:p>
        </w:tc>
        <w:tc>
          <w:tcPr>
            <w:tcW w:type="dxa" w:w="24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Urgência Pediátrica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Moderado</w:t>
            </w:r>
          </w:p>
        </w:tc>
      </w:tr>
      <w:tr>
        <w:tc>
          <w:tcPr>
            <w:tcW w:type="dxa" w:w="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#09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Recém-Nascido com Icterícia Precoce</w:t>
            </w:r>
          </w:p>
        </w:tc>
        <w:tc>
          <w:tcPr>
            <w:tcW w:type="dxa" w:w="24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Recém-Nascido com Icterícia Precoce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Moderado</w:t>
            </w:r>
          </w:p>
        </w:tc>
      </w:tr>
      <w:tr>
        <w:tc>
          <w:tcPr>
            <w:tcW w:type="dxa" w:w="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#10</w:t>
            </w:r>
          </w:p>
        </w:tc>
        <w:tc>
          <w:tcPr>
            <w:tcW w:type="dxa" w:w="4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Parada Cardiorrespiratória em Espaço Público</w:t>
            </w:r>
          </w:p>
        </w:tc>
        <w:tc>
          <w:tcPr>
            <w:tcW w:type="dxa" w:w="24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Parada Cardiorrespiratória em Espaço Público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Avançado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Caso 01 — Anosmia Pós-Viral — Mecanismos de Olfação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A.L.M., 34 anos, professora, feminino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Queixa Principal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"Perdi o cheiro há 3 semanas após COVID"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Contexto Clínico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Teve COVID-19 moderado confirmado (teste +) há 4 semanas. Anosmia bilateral persistente. Leve ageusia associada. Sem cefaleia, febre atual ou obstrução nasal. Sem comorbidades.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 Iniciais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 118/76 | FC 82 | FR 14 | Temp 36.4°C | SpO₂ 98%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 Trabalhadas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Anamnese neurológica, avaliação par craniano I, diagnóstico diferencial anosmia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 de Aprendizagem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Transdução olfativa, via olfatória central, neuroepitélio, COVID-19 e anosmia, síndrome de Kallmann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Esperado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Anosmia pós-viral (COVID-19) — provável lesão do epitélio olfativo ou neuroepitélio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Caso 02 — HAS com Dispneia aos Esforços — Semiologia Cardiovascular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M.S.O., 62 anos, motorista aposentado, masculino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Queixa Principal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"Cansaço ao subir escada há 3 semanas"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Contexto Clínico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há 12 anos, uso irregular de losartana 50mg. Tabagista por 30 anos (cessação há 5). Edema bilateral de MMII vespertino. Sem internações anteriores. IMC 29.1.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 Iniciais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 168/102 | FC 96 | FR 18 | Temp 36.6°C | SpO₂ 95%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 Trabalhadas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Aferição de PA, classificação HAS, ausculta cardíaca (B4), avaliação de edema (Godet)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 de Aprendizagem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estágio 2, ICC, B4, edema cardiogênico, adesão medicamentosa, risco cardiovascular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Esperado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estágio 2 descompensada + provável ICC com fração de ejeção preservada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Caso 03 — Pneumonia Adquirida na Comunidade — Semiologia Pulmonar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A.P.R., 28 anos, professora, feminino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Queixa Principal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"Tosse com catarro amarelado e febre há 5 dias"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Contexto Clínico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Tosse produtiva amarelo-esverdeada, febre 38.8°C vespertina, calafrios, astenia, dor pleurítica em hemitórax D. Não vacinada influenza. Sem tabagismo.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 Iniciais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 118/76 | FC 104 | FR 24 | Temp 38.9°C | SpO₂ 94%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 Trabalhadas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Ausculta pulmonar (crepitantes, sopro tubário), percussão, FR, expansão torácica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 de Aprendizagem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PAC, S. pneumoniae, critérios CURB-65, crepitantes, taquipneia, broncofonia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Esperado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Pneumonia adquirida na comunidade — provável lobar direita (S. pneumoniae)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Iniciante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Caso 04 — Cefaleia Thunderclap — Hemorragia Subaracnóidea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P.H.S., 42 anos, engenheiro, masculino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Queixa Principal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"Dor de cabeça mais forte que já senti, apareceu do nada"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Contexto Clínico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Cefaleia súbita intensa há 2 horas. Rigidez de nuca leve. Fotofobia. Sem febre. PA levemente elevada. Sem trauma. Náusea e vômito em jato.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 Iniciais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 152/94 | FC 88 | FR 16 | Temp 37.1°C | SpO₂ 99%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 Trabalhadas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Sinal de Kernig, Brudzinski, fundoscopia (edema de papila), escala de Glasgow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 de Aprendizagem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HSA, aneurisma cerebral, sinal de meningismo, TC urgente, Fisher grading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Esperado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Hemorragia Subaracnóidea (HSA) espontânea — TC: hiperdensidade cisternas basais, Fisher 3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Avançado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Caso 05 — Síndrome Gripal + Dispneia em Idosa — COVID/Influenza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R.O.S., 71 anos, aposentada, feminino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Queixa Principal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"Fiquei resfriada mas piorou muito"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Contexto Clínico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Há 7 dias com febre, mialgia, anosmia. Nas últimas 24h, piora de dispneia, SpO₂ em queda. DM2 e HAS controladas. Vacinada para COVID e influenza.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 Iniciais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 138/86 | FC 110 | FR 28 | Temp 38.2°C | SpO₂ 88%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 Trabalhadas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Avaliação de dispneia grave, oximetria, FR, uso de musculatura acessória, cianose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 de Aprendizagem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COVID grave, pneumonia viral, tempestade de citocinas, critérios de internação, SRAG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Esperado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SRAG por COVID-19 com insuficiência respiratória aguda — critérios de internação presentes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Avançado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Caso 06 — Dor Abdominal Aguda — Apendicite x Diagnóstico Diferencial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J.R.F., 19 anos, universitário, masculino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Queixa Principal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"Dor na barriga que começou no umbigo e foi para o lado direito"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Contexto Clínico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Dor inicialmente periumbilical, migrou para FID em 12h. Anorexia, náusea, febre baixa. Sem diarreia. Sem cirurgias anteriores. Sem comorbidades.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 Iniciais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 122/78 | FC 98 | FR 16 | Temp 37.8°C | SpO₂ 99%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 Trabalhadas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Palpação abdominal, sinais de Blumberg, McBurney, Rovsing, Psoas, Obturador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 de Aprendizagem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Apendicite aguda, peritonite, Alvarado Score, diagnóstico diferencial dor em FID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Esperado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Apendicite aguda (Alvarado 7 — alta probabilidade)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Caso 07 — Acidente Vascular Cerebral Isquêmico — 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L.M.C., 67 anos, aposentada, feminino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Queixa Principal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"Minha boca está torta e não consigo falar direito"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Contexto Clínico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Início há 45 minutos. Desvio de rima para direita, disartria, paresia em membro superior esquerdo. HAS e FA. Em uso de rivaroxabana (com irregularidade).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 Iniciais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 178/106 | FC 92 (irregular) | FR 18 | Temp 36.8°C | SpO₂ 97%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 Trabalhadas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NIHSS simplificado, FAST, avaliação de pares cranianos, força motora, linguagem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 de Aprendizagem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AVC isquêmico, janela terapêutica tPA, FA como causa embólica, escala NIHSS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Esperado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AVC isquêmico agudo em córtex motor D — janela para trombólise (&lt; 4,5h)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Avançado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Caso 08 — Crise Asmática em Criança — Urgência Pediátrica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G.A.T., 8 anos, escolar, masculino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Queixa Principal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Mãe: "Ele tá chiando muito e não consegue respirar"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Contexto Clínico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Asma diagnosticada há 2 anos. Crise desencadeada por exposição a poeira. Uso de broncodilatador sem melhora. Fala em frases curtas. Sem cianose no momento.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 Iniciais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 100/65 | FC 128 | FR 36 | Temp 36.9°C | SpO₂ 91%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 Trabalhadas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Ausculta (sibilos), uso de musculatura acessória, retração intercostal, peak flow, escala de gravidade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 de Aprendizagem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Asma crise, broncoespasmo, beta2-agonista, corticoide, classificação gravidade GINA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Esperado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Crise asmática moderada-grave — indicação de salbutamol nebulizado + corticoide sistêmico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Caso 09 — Recém-Nascido com Icterícia Precoce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R.N. de A.C.F., 2 dias de vida, masculino, a termo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Queixa Principal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Mãe: "O bebê tá amarelo desde ontem"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Contexto Clínico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 a termo (39s), peso nascimento 3200g, Apgar 9/10. Icterícia detectada às 22h de vida. Aleitamento materno exclusivo. Mãe O+, bebê A+. Sem febre.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 Iniciais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FC 144 | FR 46 | Temp 36.9°C | Bilirrubina total 14,2 mg/dL (22h de vida)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 Trabalhadas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Avaliação de icterícia neonatal (zonas de Kramer), teste de Coombs, bilirrubinômetro transcutâneo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 de Aprendizagem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Doença hemolítica perinatal, incompatibilidade ABO, fototerapia, kernicterus, nomograma Bhutani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Esperado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Hiperbilirrubinemia neonatal por incompatibilidade ABO — indicação de fototerapia intensiva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Caso 10 — Parada Cardiorrespiratória em Espaço Público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Vítima não identificada, adulto jovem, ≈30 anos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Queixa Principal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Você presencia a vítima colapsar na praça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Contexto Clínico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Vítima em decúbito dorsal, inconsciente, sem resposta ao chamado. Ausência de respiração (apenas gasping). Sem DEA visível. Você é o único socorrista. Chamada do SAMU realizada por terceiro.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 Iniciais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GCS 3 | FC: ausente (parada) | FR: gasping apenas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 Trabalhadas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RCP — protocolo BLS AHA 2020 (30:2, 100-120 comp/min, 5-6cm profundidade), uso de DEA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 de Aprendizagem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PCR, ritmos chocáveis x não chocáveis, cadeia de sobrevivência, BLS, ACLS básico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Esperado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PCR presenciada — iniciar RCP imediatamente, acionar DEA assim que disponível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7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Avançado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1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2E13"/>
          <w:sz w:val="36"/>
          <w:szCs w:val="36"/>
        </w:rPr>
        <w:t xml:space="preserve">4. Tutoria Base — Olfação e Gustação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1F" w:sz="4"/>
              <w:left w:val="single" w:color="2D6A1F" w:sz="20"/>
              <w:bottom w:val="single" w:color="2D6A1F" w:sz="4"/>
              <w:right w:val="single" w:color="2D6A1F" w:sz="4"/>
            </w:tcBorders>
            <w:shd w:fill="F0F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Por que este tema?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Olfação e gustação são os temas inaugurais do protótipo MedRaiz. Além de serem conteúdo do ciclo básico, possuem relevância clínica direta (anosmia pós-COVID, síndrome de Kallmann, ageusia como sinal neurológico) e integram perfeitamente o Caso Clínico 01 do banco.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4.1 Olfação — Mecanismo Completo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4.1.1 Epitélio Olfativo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Localiza-se na região superior da cavidade nasal (concha nasal superior e septo). É composto por três tipos celulares principais: (1) neurônios olfativos bipolares, (2) células de sustentação e (3) células basais (precursoras). Os cílios dos neurônios olfativos mergulham no muco produzido pelas glândulas de Bowman, onde os odorantes se dissolvem para interagir com os receptores.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4.1.2 Transdução do Sinal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Odorante → dissolve-se no muco → liga-se ao receptor olfativo (proteína G acoplada — GPCR)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Ativação da adenilil ciclase → ↑ AMPc → abertura de canais de cátions (Na⁺/Ca²⁺)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Despolarização → potencial de ação → axônio do nervo olfativo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Ref.: Guyton &amp; Hall, Cap. 54 — Sentidos Olfativo e Gustativo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4.1.3 Via Neural Olfativa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78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78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1ª</w:t>
            </w:r>
          </w:p>
        </w:tc>
        <w:tc>
          <w:tcPr>
            <w:tcW w:type="dxa" w:w="37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Neurônios bipolares (epitélio olfativo)</w:t>
            </w:r>
          </w:p>
        </w:tc>
        <w:tc>
          <w:tcPr>
            <w:tcW w:type="dxa" w:w="37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Captação e transdução do estímulo</w:t>
            </w:r>
          </w:p>
        </w:tc>
      </w:tr>
      <w:tr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2ª</w:t>
            </w:r>
          </w:p>
        </w:tc>
        <w:tc>
          <w:tcPr>
            <w:tcW w:type="dxa" w:w="37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Bulbo olfatório (células mitrais)</w:t>
            </w:r>
          </w:p>
        </w:tc>
        <w:tc>
          <w:tcPr>
            <w:tcW w:type="dxa" w:w="37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Processamento primário — glomeruli</w:t>
            </w:r>
          </w:p>
        </w:tc>
      </w:tr>
      <w:tr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3ª</w:t>
            </w:r>
          </w:p>
        </w:tc>
        <w:tc>
          <w:tcPr>
            <w:tcW w:type="dxa" w:w="37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Trato olfatório → córtex piriforme</w:t>
            </w:r>
          </w:p>
        </w:tc>
        <w:tc>
          <w:tcPr>
            <w:tcW w:type="dxa" w:w="37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Identificação consciente do odor</w:t>
            </w:r>
          </w:p>
        </w:tc>
      </w:tr>
      <w:tr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4ª</w:t>
            </w:r>
          </w:p>
        </w:tc>
        <w:tc>
          <w:tcPr>
            <w:tcW w:type="dxa" w:w="37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Amígdala + hipocampo (sistema límbico)</w:t>
            </w:r>
          </w:p>
        </w:tc>
        <w:tc>
          <w:tcPr>
            <w:tcW w:type="dxa" w:w="37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Memória olfativa, emoção, comportamento</w:t>
            </w:r>
          </w:p>
        </w:tc>
      </w:tr>
      <w:tr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Projeção</w:t>
            </w:r>
          </w:p>
        </w:tc>
        <w:tc>
          <w:tcPr>
            <w:tcW w:type="dxa" w:w="37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Córtex orbitofrontal</w:t>
            </w:r>
          </w:p>
        </w:tc>
        <w:tc>
          <w:tcPr>
            <w:tcW w:type="dxa" w:w="37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Percepção consciente e integração com gustação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4"/>
              <w:left w:val="single" w:color="B8860B" w:sz="20"/>
              <w:bottom w:val="single" w:color="B8860B" w:sz="4"/>
              <w:right w:val="single" w:color="B8860B" w:sz="4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Clínica Importante — Anosmia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COVID-19: lesão direta do neuroepitélio olfativo e células de suporte. Pode ser transitória (semanas) ou persistente (meses). Síndrome de Kallmann: agenesia bulbo olfatório + hipogonadismo hipogonadotrófico. Meningioma do sulco olfatório: anosmia unilateral progressiva. Trauma crânio-encefálico: lesão do filamentos nervosos na lâmina cribriforme.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4.2 Gustação — Mecanismo Completo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4.2.1 Papilas Gustativas e Botões Gustativos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5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Papila</w:t>
            </w:r>
          </w:p>
        </w:tc>
        <w:tc>
          <w:tcPr>
            <w:tcW w:type="dxa" w:w="28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15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6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24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Valadas (caliciformes)</w:t>
            </w:r>
          </w:p>
        </w:tc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 lingual (sulco terminal)</w:t>
            </w:r>
          </w:p>
        </w:tc>
        <w:tc>
          <w:tcPr>
            <w:tcW w:type="dxa" w:w="1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7–12</w:t>
            </w:r>
          </w:p>
        </w:tc>
        <w:tc>
          <w:tcPr>
            <w:tcW w:type="dxa" w:w="2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Maior concentração de botões</w:t>
            </w:r>
          </w:p>
        </w:tc>
      </w:tr>
      <w:tr>
        <w:tc>
          <w:tcPr>
            <w:tcW w:type="dxa" w:w="24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Fungiformes</w:t>
            </w:r>
          </w:p>
        </w:tc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Ápice e bordas da língua</w:t>
            </w:r>
          </w:p>
        </w:tc>
        <w:tc>
          <w:tcPr>
            <w:tcW w:type="dxa" w:w="1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200–400</w:t>
            </w:r>
          </w:p>
        </w:tc>
        <w:tc>
          <w:tcPr>
            <w:tcW w:type="dxa" w:w="2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Vermelhas, visíveis a olho nu</w:t>
            </w:r>
          </w:p>
        </w:tc>
      </w:tr>
      <w:tr>
        <w:tc>
          <w:tcPr>
            <w:tcW w:type="dxa" w:w="24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Foliadas</w:t>
            </w:r>
          </w:p>
        </w:tc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Bordas laterais posteriores</w:t>
            </w:r>
          </w:p>
        </w:tc>
        <w:tc>
          <w:tcPr>
            <w:tcW w:type="dxa" w:w="1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Variável</w:t>
            </w:r>
          </w:p>
        </w:tc>
        <w:tc>
          <w:tcPr>
            <w:tcW w:type="dxa" w:w="2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Reduzidas em adultos</w:t>
            </w:r>
          </w:p>
        </w:tc>
      </w:tr>
      <w:tr>
        <w:tc>
          <w:tcPr>
            <w:tcW w:type="dxa" w:w="24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Filiformes</w:t>
            </w:r>
          </w:p>
        </w:tc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Todo o dorso lingual</w:t>
            </w:r>
          </w:p>
        </w:tc>
        <w:tc>
          <w:tcPr>
            <w:tcW w:type="dxa" w:w="1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Milhares</w:t>
            </w:r>
          </w:p>
        </w:tc>
        <w:tc>
          <w:tcPr>
            <w:tcW w:type="dxa" w:w="2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NÃO possuem botões gustativos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4.2.2 Cinco Modalidades Gustativas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Doce — detecta carboidratos, receptores T1R2+T1R3 (GPCR)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Salgado — Na⁺ via canais iônicos (ENaC)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Ácido/Azedo — H⁺, acidez — canais de prótons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Amargo — T2R (família de GPCRs) — proteção contra toxinas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Umami — glutamato (T1R1+T1R3) — sabor de proteínas/carnes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4.2.3 Via Neural Gustativa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NC VII (corda do tímpano): 2/3 anteriores da língua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NC IX (glossofaríngeo): 1/3 posterior da língua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NC X (vago): palato mole e epiglote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Núcleo do trato solitário (bulbo) → tálamo (VPM) → córtex gustativo (ínsula/opérculo frontal)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4.3 Integração Olfato-Gustação e Relevância Clínica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"Sabor" é a fusão de gustação + olfação + textura + temperatura. Por isso, em estados de anosmia (como pós-COVID), o paciente frequentemente refere "perda do gosto" — na verdade, perda do componente retronasal da olfação.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1F" w:sz="4"/>
              <w:left w:val="single" w:color="2D6A1F" w:sz="20"/>
              <w:bottom w:val="single" w:color="2D6A1F" w:sz="4"/>
              <w:right w:val="single" w:color="2D6A1F" w:sz="4"/>
            </w:tcBorders>
            <w:shd w:fill="F0F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Regra 80/20 — O que Mais Cai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TRANSDUÇÃO OLFATIVA: Odorante → GPCR → AMPc → despolarização | 2. VIA OLFATIVA: Epitélio → Bulbo → Córtex piriforme → Límbico | 3. PAPILAS: Filiformes NÃO têm botões gustativos | 4. MODALIDADES: 5 sabores + mecanismos moleculares | 5. CLÍNICA: Anosmia COVID, Kallmann, meningioma olfatório | 6. PARES CRANIANOS: VII, IX, X para gustação — NC I para olfação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1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2E13"/>
          <w:sz w:val="36"/>
          <w:szCs w:val="36"/>
        </w:rPr>
        <w:t xml:space="preserve">5. Arquitetura Técnica Fullstack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5.1 Stack Tecnológica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14 (React) + TypeScript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SSR/SSG, SEO, App Router, Vercel deploy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Estilo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system consistente, responsivo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API Routes + Node.js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Full-stack unificado, serverless-ready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Open-source, Auth integrado, RLS, Storage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 Principal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 Claude API (claude-sonnet)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Qualidade superior para geração de tutoria médica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 Semântica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pgvector (Supabase)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Embeddings para busca em livros e diretrizes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Storage / AWS S3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PDFs de livros, imagens, áudios de ausculta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Auth (JWT + OAuth)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Email, Google, SSO institucional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(cartão) + PagSeguro (PIX/boleto)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Cobertura total do mercado BR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Vercel (frontend) + Railway (workers)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Escalabilidade automática, deploy CI/CD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Sentry + Posthog + Datadog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Erros, analytics, performance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5.2 Diagrama de Arquitetura (Descritivo)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Camada de Apresentação → API Gateway (Next.js) → Serviços de Negócio → Integrações Externas → Persistência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8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68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Páginas: Home, Tutoria IA, Casos Clínicos, Calculadoras, Prontuário, Ausculta, Admin, Painel Professor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Routes</w:t>
            </w:r>
          </w:p>
        </w:tc>
        <w:tc>
          <w:tcPr>
            <w:tcW w:type="dxa" w:w="68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/api/tutoria, /api/casos, /api/chat, /api/exportar, /api/auth, /api/pagamentos, /api/prontuario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Service</w:t>
            </w:r>
          </w:p>
        </w:tc>
        <w:tc>
          <w:tcPr>
            <w:tcW w:type="dxa" w:w="68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Wrapper Claude API com retry, cache de prompts, controle de tokens, streaming SSE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</w:t>
            </w:r>
          </w:p>
        </w:tc>
        <w:tc>
          <w:tcPr>
            <w:tcW w:type="dxa" w:w="68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Auth, Database (PostgreSQL + pgvector), Storage (PDFs, áudios), Realtime (chat)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68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 Claude API, Stripe, PagSeguro, AWS S3, PubMed API, DATASUS API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Workers</w:t>
            </w:r>
          </w:p>
        </w:tc>
        <w:tc>
          <w:tcPr>
            <w:tcW w:type="dxa" w:w="68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Processamento de PDFs enviados pelo usuário (extração, chunking, embedding)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5.3 Schema do Banco de Dados (Principais Tabelas)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Tabela: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de acesso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| premium | institutional | governo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Vínculo com instituição de ensino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access_origin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 | book_code | prounifies | institutional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Expiração do plano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de cadastro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Tabela: tutorias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Usuário que gerou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tema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Tema/síntese provisória inserida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fontes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Array de fontes selecionadas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conteudo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completo gerado (tutoria + questões + flashcards + pareto)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basico | moderado | avancado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tokens_used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Controle de custo de API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de geração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Tabela: casos_clinicos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titulo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Título do caso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Área médica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iniciante | moderado | avancado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paciente_perfil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Dados do paciente (nome, idade, sexo, contexto)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sinais_vitais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PA, FC, FR, Temp, SpO₂ iniciais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 que define o comportamento do "paciente" na IA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exames_simulados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Resultados por tipo de exame solicitado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diagnostico_esperado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correto e conduta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habilidades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TEXT[]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Array de habilidades treinadas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is_public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Disponível para plano free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Autor (admin ou professor)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E13"/>
          <w:sz w:val="24"/>
          <w:szCs w:val="24"/>
        </w:rPr>
        <w:t xml:space="preserve">Tabela: prontuarios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Estudante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paciente_iniciais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Iniciais (privacidade LGPD)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data_atendimento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da consulta de treino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dados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Sinais vitais, exame físico, hipótese diagnóstica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UFAM, HC, UBS — contexto de atendimento</w:t>
            </w:r>
          </w:p>
        </w:tc>
      </w:tr>
      <w:tr>
        <w:tc>
          <w:tcPr>
            <w:tcW w:type="dxa" w:w="25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do registro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1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2E13"/>
          <w:sz w:val="36"/>
          <w:szCs w:val="36"/>
        </w:rPr>
        <w:t xml:space="preserve">6. Integrações e APIs Externas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6.1 Anthropic Claude API — Core do Produto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integração com a Claude API é o coração do MedRaiz. Todos os recursos de geração de conteúdo passam por 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Uso</w:t>
            </w:r>
          </w:p>
        </w:tc>
        <w:tc>
          <w:tcPr>
            <w:tcW w:type="dxa" w:w="20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  <w:tc>
          <w:tcPr>
            <w:tcW w:type="dxa" w:w="2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3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Geração de tutoria completa (JSON)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claude-sonnet-4</w:t>
            </w:r>
          </w:p>
        </w:tc>
        <w:tc>
          <w:tcPr>
            <w:tcW w:type="dxa" w:w="1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7000</w:t>
            </w:r>
          </w:p>
        </w:tc>
        <w:tc>
          <w:tcPr>
            <w:tcW w:type="dxa" w:w="2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Streaming SSE</w:t>
            </w:r>
          </w:p>
        </w:tc>
      </w:tr>
      <w:tr>
        <w:tc>
          <w:tcPr>
            <w:tcW w:type="dxa" w:w="3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de caso clínico (conversação)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claude-sonnet-4</w:t>
            </w:r>
          </w:p>
        </w:tc>
        <w:tc>
          <w:tcPr>
            <w:tcW w:type="dxa" w:w="1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Histórico de mensagens</w:t>
            </w:r>
          </w:p>
        </w:tc>
      </w:tr>
      <w:tr>
        <w:tc>
          <w:tcPr>
            <w:tcW w:type="dxa" w:w="3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Geração de questões adicionais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2000</w:t>
            </w:r>
          </w:p>
        </w:tc>
        <w:tc>
          <w:tcPr>
            <w:tcW w:type="dxa" w:w="2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 reduzido</w:t>
            </w:r>
          </w:p>
        </w:tc>
      </w:tr>
      <w:tr>
        <w:tc>
          <w:tcPr>
            <w:tcW w:type="dxa" w:w="3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Análise de PDF enviado pelo usuário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claude-sonnet-4</w:t>
            </w:r>
          </w:p>
        </w:tc>
        <w:tc>
          <w:tcPr>
            <w:tcW w:type="dxa" w:w="1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4000</w:t>
            </w:r>
          </w:p>
        </w:tc>
        <w:tc>
          <w:tcPr>
            <w:tcW w:type="dxa" w:w="2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Base64 + document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20"/>
              <w:bottom w:val="single" w:color="1A5276" w:sz="4"/>
              <w:right w:val="single" w:color="1A5276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Estratégia de Custo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 de prompts para temas recorrentes (anosmia, HAS, pneumonia) — redução de até 70% do custo de tokens. Prompt system reutilizado entre gerações do mesmo tema. Haiku para tarefas simples (questões rápidas). Rate limiting por plano de usuário.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6.2 Bases de Dados Médicas — APIs Governamentais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Fonte</w:t>
            </w:r>
          </w:p>
        </w:tc>
        <w:tc>
          <w:tcPr>
            <w:tcW w:type="dxa" w:w="328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328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MedRaiz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DATASUS / TABNET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Indicadores SUS, epidemiologia BR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Contextualizar casos com prevalências reais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OpenDENG / SINAN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Doenças notificáveis, surtos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Casos clínicos de doenças tropicais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PubMed API (NLM)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Artigos científicos MEDLINE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Citações automáticas nas tutorias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ANVISA Open Data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Medicamentos, bulas, recalls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Farmacologia nos casos clínicos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IBGE API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Dados demográficos e socioeconômicos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DSS — determinação social da saúde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Protocolo MS (PDF)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Cadernos Atenção Básica, PCDT</w:t>
            </w:r>
          </w:p>
        </w:tc>
        <w:tc>
          <w:tcPr>
            <w:tcW w:type="dxa" w:w="328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 para condutas nos casos clínicos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6.3 Biblioteca de Referências Embutidas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fontes bibliográficas estão indexadas no banco vetorial (pgvector) como chunks de texto com embeddings, permitindo busca semântica nos prompts. Divisão por plano de acesso: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41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 de Integração</w:t>
            </w:r>
          </w:p>
        </w:tc>
      </w:tr>
      <w:tr>
        <w:tc>
          <w:tcPr>
            <w:tcW w:type="dxa" w:w="3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Guyton &amp; Hall — Fisiologia Médica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(resumos)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Chunks indexados — embeddings</w:t>
            </w:r>
          </w:p>
        </w:tc>
      </w:tr>
      <w:tr>
        <w:tc>
          <w:tcPr>
            <w:tcW w:type="dxa" w:w="3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Silverthorn — Fisiologia Humana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Chunks indexados — embeddings</w:t>
            </w:r>
          </w:p>
        </w:tc>
      </w:tr>
      <w:tr>
        <w:tc>
          <w:tcPr>
            <w:tcW w:type="dxa" w:w="3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Tortora — Microbiologia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Chunks indexados — embeddings</w:t>
            </w:r>
          </w:p>
        </w:tc>
      </w:tr>
      <w:tr>
        <w:tc>
          <w:tcPr>
            <w:tcW w:type="dxa" w:w="3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Abbas — Imunologia Celular e Molecular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Chunks indexados — embeddings</w:t>
            </w:r>
          </w:p>
        </w:tc>
      </w:tr>
      <w:tr>
        <w:tc>
          <w:tcPr>
            <w:tcW w:type="dxa" w:w="3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Robbins &amp; Cotran — Patologia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Chunks indexados — embeddings</w:t>
            </w:r>
          </w:p>
        </w:tc>
      </w:tr>
      <w:tr>
        <w:tc>
          <w:tcPr>
            <w:tcW w:type="dxa" w:w="3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Porto — Semiologia Clínica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Parceria editorial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Código no livro → acesso 12 meses</w:t>
            </w:r>
          </w:p>
        </w:tc>
      </w:tr>
      <w:tr>
        <w:tc>
          <w:tcPr>
            <w:tcW w:type="dxa" w:w="3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Bates — Exame Clínico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Parceria editorial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Código no livro → acesso 12 meses</w:t>
            </w:r>
          </w:p>
        </w:tc>
      </w:tr>
      <w:tr>
        <w:tc>
          <w:tcPr>
            <w:tcW w:type="dxa" w:w="3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Junqueira — Histologia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Chunks indexados — embeddings</w:t>
            </w:r>
          </w:p>
        </w:tc>
      </w:tr>
      <w:tr>
        <w:tc>
          <w:tcPr>
            <w:tcW w:type="dxa" w:w="3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Arquivo do usuário (PDF/DOCX)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Todos os planos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→ extração → embedding sessão</w:t>
            </w:r>
          </w:p>
        </w:tc>
      </w:tr>
      <w:tr>
        <w:tc>
          <w:tcPr>
            <w:tcW w:type="dxa" w:w="3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Diretrizes MS / SBC / SBP</w:t>
            </w:r>
          </w:p>
        </w:tc>
        <w:tc>
          <w:tcPr>
            <w:tcW w:type="dxa" w:w="2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(PDFs públicos)</w:t>
            </w:r>
          </w:p>
        </w:tc>
        <w:tc>
          <w:tcPr>
            <w:tcW w:type="dxa" w:w="41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 automático + indexação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6.4 Modelo de Monetização e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40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15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16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4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casos clínicos, calculadoras, prontuário</w:t>
            </w:r>
          </w:p>
        </w:tc>
        <w:tc>
          <w:tcPr>
            <w:tcW w:type="dxa" w:w="1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Gratuito</w:t>
            </w:r>
          </w:p>
        </w:tc>
        <w:tc>
          <w:tcPr>
            <w:tcW w:type="dxa" w:w="1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Cadastro direto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Via Livro</w:t>
            </w:r>
          </w:p>
        </w:tc>
        <w:tc>
          <w:tcPr>
            <w:tcW w:type="dxa" w:w="4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 completo por 12 meses</w:t>
            </w:r>
          </w:p>
        </w:tc>
        <w:tc>
          <w:tcPr>
            <w:tcW w:type="dxa" w:w="1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Código no livro</w:t>
            </w:r>
          </w:p>
        </w:tc>
        <w:tc>
          <w:tcPr>
            <w:tcW w:type="dxa" w:w="1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Porto / Bates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 Individual</w:t>
            </w:r>
          </w:p>
        </w:tc>
        <w:tc>
          <w:tcPr>
            <w:tcW w:type="dxa" w:w="4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Tudo + upload PDF + exportação</w:t>
            </w:r>
          </w:p>
        </w:tc>
        <w:tc>
          <w:tcPr>
            <w:tcW w:type="dxa" w:w="1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R$ 39/mês ou R$ 349/ano</w:t>
            </w:r>
          </w:p>
        </w:tc>
        <w:tc>
          <w:tcPr>
            <w:tcW w:type="dxa" w:w="1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Stripe/PIX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ProUni/Fies</w:t>
            </w:r>
          </w:p>
        </w:tc>
        <w:tc>
          <w:tcPr>
            <w:tcW w:type="dxa" w:w="4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 completo gratuito</w:t>
            </w:r>
          </w:p>
        </w:tc>
        <w:tc>
          <w:tcPr>
            <w:tcW w:type="dxa" w:w="1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Custeado pelo MEC</w:t>
            </w:r>
          </w:p>
        </w:tc>
        <w:tc>
          <w:tcPr>
            <w:tcW w:type="dxa" w:w="1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Parceria governo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4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Tudo + painel professor + casos custom</w:t>
            </w:r>
          </w:p>
        </w:tc>
        <w:tc>
          <w:tcPr>
            <w:tcW w:type="dxa" w:w="1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R$ 15/aluno/mês</w:t>
            </w:r>
          </w:p>
        </w:tc>
        <w:tc>
          <w:tcPr>
            <w:tcW w:type="dxa" w:w="1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Contrato B2B</w:t>
            </w:r>
          </w:p>
        </w:tc>
      </w:tr>
      <w:tr>
        <w:tc>
          <w:tcPr>
            <w:tcW w:type="dxa" w:w="22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Premium+ API</w:t>
            </w:r>
          </w:p>
        </w:tc>
        <w:tc>
          <w:tcPr>
            <w:tcW w:type="dxa" w:w="40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Livros extras + artigos PubMed</w:t>
            </w:r>
          </w:p>
        </w:tc>
        <w:tc>
          <w:tcPr>
            <w:tcW w:type="dxa" w:w="1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R$ 59/mês</w:t>
            </w:r>
          </w:p>
        </w:tc>
        <w:tc>
          <w:tcPr>
            <w:tcW w:type="dxa" w:w="16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Stripe/PIX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1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2E13"/>
          <w:sz w:val="36"/>
          <w:szCs w:val="36"/>
        </w:rPr>
        <w:t xml:space="preserve">7. Roadmap de Desenvolvimento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Fase 1 — Piloto HTML (Atual)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✅ Protótipo HTML funcional (MedHab → MedRaiz)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✅ Tutoria IA com Claude API integrada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✅ 10 casos clínicos definidos + chat conversacional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✅ Calculadoras com alertas em tempo real (Adulto, Ped, RN a Termo, Pré-Termo)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✅ Prontuário digital local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✅ Ausculta simulada (Web Audio API)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✅ Identidade visual MedRaiz estabelecida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Fase 2 — MVP Web Fullstack (3–4 meses)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Next.js + Supabase + Claude API em produção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autenticação e planos de acesso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de PDF do usuário com processamento e embedding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Exportação TXT/HTML/Word da tutoria gerada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ECG básico interativo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Painel do professor para upload de casos e questões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Integração Stripe + PagSeguro (PIX)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Deploy na Vercel com domínio medraiz.com.br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Fase 3 — Parceiras e Escala (6–12 meses)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Parceria com GEN/Guanabara Koogan (Porto + Bates) — código no livro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Convênio com MEC/FNDE para acesso ProUni/Fies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Integração DATASUS e PubMed (citações automáticas)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 mobile React Native (iOS + Android)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Módulo ECG + Raio-X com análise guiada por IA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Validação com faculdades de medicina de SJC-SP (FAMERP, UNITAU, Univap)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Fase 4 — Produto Nacional (12–24 meses)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Escala para todas as faculdades de medicina do Brasil (350k+ estudantes)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Painel de analytics para professores e coordenadores de curso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Conteúdo validado por sociedades médicas (SBC, SBP, SBHCI)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Programa de autores — médicos parceiros que criam casos premium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Versão em inglês para mercado LATAM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1F" w:sz="4"/>
              <w:left w:val="single" w:color="2D6A1F" w:sz="20"/>
              <w:bottom w:val="single" w:color="2D6A1F" w:sz="4"/>
              <w:right w:val="single" w:color="2D6A1F" w:sz="4"/>
            </w:tcBorders>
            <w:shd w:fill="F0F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Meta de Validação — SJC 2025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Apresentar o protótipo até setembro/2025 para: (1) Prof. Celmo Celeno Porto ou representante — solicitação de parceria editorial; (2) Diretoria acadêmica de pelo menos 1 faculdade de medicina em SJC-SP; (3) Secretaria Municipal de Saúde de SJC — validação para uso em PMSUS; (4) GEN Grupo Editorial — negociação código de acesso.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1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2E13"/>
          <w:sz w:val="36"/>
          <w:szCs w:val="36"/>
        </w:rPr>
        <w:t xml:space="preserve">8. LGPD, Segurança e Responsabilidade Clínica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8.1 Conformidade LGPD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Prontuários de treino: apenas iniciais do paciente — sem nome completo, CPF ou dados identificáveis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Política de privacidade clara informando uso dos dados para melhoria do produto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Dados de prontuário armazenados com RLS (Row Level Security) — cada usuário acessa apenas seus dados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Opção de exportação e exclusão de todos os dados pessoais (direito ao esquecimento)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Servidores em região BR (Supabase sa-east-1 — São Paulo)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8.2 Disclaimer Clínico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20"/>
              <w:bottom w:val="single" w:color="C0392B" w:sz="4"/>
              <w:right w:val="single" w:color="C0392B" w:sz="4"/>
            </w:tcBorders>
            <w:shd w:fill="FD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Aviso Importante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 MedRaiz é uma plataforma EDUCACIONAL destinada a estudantes de medicina em ambiente supervisionado. Todo o conteúdo gerado pela IA é baseado em referências bibliográficas e protocolos estabelecidos, mas NÃO substitui a orientação de um professor ou preceptor clínico. Os casos clínicos são ficcionais para fins pedagógicos. As calculadoras são ferramentas de treino — sempre confirme com o supervisor clínico antes de tomar qualquer decisão assistencial.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8.3 Segurança da API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Chave da API Anthropic nunca exposta no frontend — sempre via variável de ambiente no servidor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 por usuário: 10 gerações de tutoria/dia (free), ilimitado (premium)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Validação de input para prevenção de prompt injection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Logs de uso da API para monitoramento de custo e detecção de abuso</w:t>
      </w:r>
    </w:p>
    <w:p>
      <w:r>
        <w:br w:type="page"/>
      </w:r>
    </w:p>
    <w:p>
      <w:pPr>
        <w:pStyle w:val="Heading1"/>
        <w:pBdr>
          <w:bottom w:val="single" w:color="2D6A1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2E13"/>
          <w:sz w:val="36"/>
          <w:szCs w:val="36"/>
        </w:rPr>
        <w:t xml:space="preserve">9. Glossário Técnico e Referências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9.1 Siglas e Termos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2D6A1F" w:sz="4"/>
              <w:left w:val="single" w:color="2D6A1F" w:sz="4"/>
              <w:bottom w:val="single" w:color="2D6A1F" w:sz="4"/>
              <w:right w:val="single" w:color="2D6A1F" w:sz="4"/>
            </w:tcBorders>
            <w:shd w:fill="1A2E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Requirements Document — documento de requisitos do produto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PBL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Problem-Based Learning — metodologia de aprendizado baseado em problemas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SSE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Server-Sent Events — streaming de dados em tempo real do servidor para o cliente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Row Level Security — política de segurança por linha no PostgreSQL/Supabase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pgvector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Extensão do PostgreSQL para armazenamento e busca de vetores/embeddings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Representação vetorial de texto para busca semântica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SSR/SSG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Server-Side Rendering / Static Site Generation — estratégias do Next.js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Situação Problema — caso disparador no método PBL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QA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Questões de Aprendizagem — objetivos de estudo derivados do SP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BLS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8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Life Support — suporte básico de vida (RCP)</w:t>
            </w:r>
          </w:p>
        </w:tc>
      </w:tr>
      <w:tr>
        <w:tc>
          <w:tcPr>
            <w:tcW w:type="dxa" w:w="280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LGPD</w:t>
            </w:r>
          </w:p>
        </w:tc>
        <w:tc>
          <w:tcPr>
            <w:tcW w:type="dxa" w:w="6560"/>
            <w:tcBorders>
              <w:top w:val="single" w:color="C8DFC0" w:sz="4"/>
              <w:left w:val="single" w:color="C8DFC0" w:sz="4"/>
              <w:bottom w:val="single" w:color="C8DFC0" w:sz="4"/>
              <w:right w:val="single" w:color="C8DF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Lei Geral de Proteção de Dados — Lei 13.709/2018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1F"/>
          <w:sz w:val="28"/>
          <w:szCs w:val="28"/>
        </w:rPr>
        <w:t xml:space="preserve">9.2 Referências Bibliográficas Base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PORTO, Celmo Celeno. Semiologia Clínica. 7. ed. Rio de Janeiro: Guanabara Koogan, 2014.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BICKLEY, Lynn S. Bates — Propedêutica Médica. 11. ed. Rio de Janeiro: Guanabara Koogan, 2015.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GUYTON, Arthur C.; HALL, John E. Tratado de Fisiologia Médica. 14. ed. Rio de Janeiro: Elsevier, 2021.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SILVERTHORN, D. U. Fisiologia Humana: Uma Abordagem Integrada. 7. ed. Porto Alegre: Artmed, 2017.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TORTORA, G. J.; FUNKE, B. R.; CASE, C. L. Microbiologia. 12. ed. Porto Alegre: Artmed, 2017.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ABBAS, A. K.; LICHTMAN, A. H.; PILLAI, S. Imunologia Celular e Molecular. 9. ed. Rio de Janeiro: Elsevier, 2019.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ROBBINS &amp; COTRAN. Bases Patológicas das Doenças. 9. ed. Rio de Janeiro: Elsevier, 2016.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BRASIL. Ministério da Saúde. Cadernos de Atenção Básica. Brasília: MS, 2023.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AMERICAN HEART ASSOCIATION. 2020 AHA Guidelines for CPR and ECC. Circulation, 2020.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SOCIEDADE BRASILEIRA DE CARDIOLOGIA. 7ª Diretriz Brasileira de Hipertensão Arterial. Arq Bras Cardiol, 2016.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FC0" w:sz="4"/>
      </w:pBdr>
      <w:spacing w:before="80" w:after="0"/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Confidencial — Piloto SJC-SP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1F" w:sz="4"/>
      </w:pBdr>
      <w:spacing w:before="0" w:after="80"/>
    </w:pPr>
    <w:r>
      <w:rPr>
        <w:rFonts w:ascii="Arial" w:cs="Arial" w:eastAsia="Arial" w:hAnsi="Arial"/>
        <w:b/>
        <w:bCs/>
        <w:color w:val="2D6A1F"/>
        <w:sz w:val="18"/>
        <w:szCs w:val="18"/>
      </w:rPr>
      <w:t xml:space="preserve">MedRaiz  </w:t>
    </w:r>
    <w:r>
      <w:rPr>
        <w:rFonts w:ascii="Arial" w:cs="Arial" w:eastAsia="Arial" w:hAnsi="Arial"/>
        <w:color w:val="5D6D7E"/>
        <w:sz w:val="16"/>
        <w:szCs w:val="16"/>
      </w:rPr>
      <w:t xml:space="preserve">— Raízes do Saber Clínico  |  PRD + Especificação Técnica Fullstack  |  v1.0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E1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2E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2026-03-28T06:08:52.809Z</dcterms:created>
  <dcterms:modified xsi:type="dcterms:W3CDTF">2026-03-28T06:08:52.810Z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