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1700"/>
        <w:jc w:val="center"/>
      </w:pPr>
      <w:r>
        <w:rPr>
          <w:rFonts w:ascii="Arial" w:cs="Arial" w:eastAsia="Arial" w:hAnsi="Arial"/>
          <w:sz w:val="76"/>
          <w:szCs w:val="76"/>
          <w:rtl/>
        </w:rPr>
        <w:t xml:space="preserve">⚖️</w:t>
      </w:r>
    </w:p>
    <w:p>
      <w:pPr>
        <w:bidi/>
        <w:spacing w:after="60" w:before="200"/>
        <w:jc w:val="center"/>
      </w:pPr>
      <w:r>
        <w:rPr>
          <w:rFonts w:ascii="Arial" w:cs="Arial" w:eastAsia="Arial" w:hAnsi="Arial"/>
          <w:b/>
          <w:bCs/>
          <w:color w:val="3B4FB8"/>
          <w:sz w:val="60"/>
          <w:szCs w:val="60"/>
          <w:rtl/>
        </w:rPr>
        <w:t xml:space="preserve">نظام «بيّن»</w:t>
      </w:r>
    </w:p>
    <w:p>
      <w:pPr>
        <w:bidi/>
        <w:spacing w:after="40"/>
        <w:jc w:val="center"/>
      </w:pPr>
      <w:r>
        <w:rPr>
          <w:rFonts w:ascii="Arial" w:cs="Arial" w:eastAsia="Arial" w:hAnsi="Arial"/>
          <w:b/>
          <w:bCs/>
          <w:color w:val="2A3147"/>
          <w:sz w:val="32"/>
          <w:szCs w:val="32"/>
          <w:rtl/>
        </w:rPr>
        <w:t xml:space="preserve">محكمة سعودية افتراضية متعددة الوكلاء</w:t>
      </w:r>
    </w:p>
    <w:p>
      <w:pPr>
        <w:bidi/>
        <w:spacing w:after="240"/>
        <w:jc w:val="center"/>
      </w:pPr>
      <w:r>
        <w:rPr>
          <w:rFonts w:ascii="Arial" w:cs="Arial" w:eastAsia="Arial" w:hAnsi="Arial"/>
          <w:color w:val="5A6072"/>
          <w:sz w:val="24"/>
          <w:szCs w:val="24"/>
          <w:rtl/>
        </w:rPr>
        <w:t xml:space="preserve">ملف تعريفي: البنية، والعناصر، وآلية التفاعل، والأسس البحثية</w:t>
      </w:r>
    </w:p>
    <w:p>
      <w:pPr>
        <w:pBdr>
          <w:bottom w:val="single" w:color="4B5BD6" w:sz="14" w:space="4"/>
        </w:pBdr>
        <w:spacing w:after="120"/>
      </w:pPr>
      <w:r>
        <w:rPr>
          <w:rFonts w:ascii="Arial" w:cs="Arial" w:eastAsia="Arial" w:hAnsi="Arial"/>
          <w:rtl/>
        </w:rPr>
        <w:t xml:space="preserve"/>
      </w:r>
    </w:p>
    <w:p>
      <w:pPr>
        <w:bidi/>
        <w:spacing w:after="0" w:before="80"/>
        <w:jc w:val="center"/>
      </w:pPr>
      <w:r>
        <w:rPr>
          <w:rFonts w:ascii="Arial" w:cs="Arial" w:eastAsia="Arial" w:hAnsi="Arial"/>
          <w:color w:val="404653"/>
          <w:sz w:val="22"/>
          <w:szCs w:val="22"/>
          <w:rtl/>
        </w:rPr>
        <w:t xml:space="preserve">أداة محاكاة تدريبية تُعين المحامين على بروفة قضاياهم قبل الترافع الحقيقي</w:t>
      </w:r>
    </w:p>
    <w:p>
      <w:pPr>
        <w:bidi/>
        <w:spacing w:after="0" w:before="60"/>
        <w:jc w:val="center"/>
      </w:pPr>
      <w:r>
        <w:rPr>
          <w:rFonts w:ascii="Arial" w:cs="Arial" w:eastAsia="Arial" w:hAnsi="Arial"/>
          <w:color w:val="5A6072"/>
          <w:sz w:val="20"/>
          <w:szCs w:val="20"/>
          <w:rtl/>
        </w:rPr>
        <w:t xml:space="preserve">الإصدار 1.0 — يونيو 2026</w:t>
      </w:r>
    </w:p>
    <w:p>
      <w:pPr>
        <w:pageBreakBefore/>
        <w:bidi/>
        <w:spacing w:after="120"/>
        <w:jc w:val="right"/>
      </w:pPr>
      <w:r>
        <w:rPr>
          <w:rFonts w:ascii="Arial" w:cs="Arial" w:eastAsia="Arial" w:hAnsi="Arial"/>
          <w:b/>
          <w:bCs/>
          <w:color w:val="3B4FB8"/>
          <w:sz w:val="34"/>
          <w:szCs w:val="34"/>
          <w:rtl/>
        </w:rPr>
        <w:t xml:space="preserve">المحتويات</w:t>
      </w:r>
    </w:p>
    <w:p>
      <w:pPr>
        <w:bidi/>
        <w:spacing w:after="70" w:line="300"/>
        <w:jc w:val="right"/>
      </w:pPr>
      <w:r>
        <w:rPr>
          <w:rFonts w:ascii="Arial" w:cs="Arial" w:eastAsia="Arial" w:hAnsi="Arial"/>
          <w:color w:val="2A3147"/>
          <w:sz w:val="24"/>
          <w:szCs w:val="24"/>
          <w:rtl/>
        </w:rPr>
        <w:t xml:space="preserve">1. نبذة تنفيذية</w:t>
      </w:r>
    </w:p>
    <w:p>
      <w:pPr>
        <w:bidi/>
        <w:spacing w:after="70" w:line="300"/>
        <w:jc w:val="right"/>
      </w:pPr>
      <w:r>
        <w:rPr>
          <w:rFonts w:ascii="Arial" w:cs="Arial" w:eastAsia="Arial" w:hAnsi="Arial"/>
          <w:color w:val="2A3147"/>
          <w:sz w:val="24"/>
          <w:szCs w:val="24"/>
          <w:rtl/>
        </w:rPr>
        <w:t xml:space="preserve">2. المبدأ الحاكم للتصميم</w:t>
      </w:r>
    </w:p>
    <w:p>
      <w:pPr>
        <w:bidi/>
        <w:spacing w:after="70" w:line="300"/>
        <w:jc w:val="right"/>
      </w:pPr>
      <w:r>
        <w:rPr>
          <w:rFonts w:ascii="Arial" w:cs="Arial" w:eastAsia="Arial" w:hAnsi="Arial"/>
          <w:color w:val="2A3147"/>
          <w:sz w:val="24"/>
          <w:szCs w:val="24"/>
          <w:rtl/>
        </w:rPr>
        <w:t xml:space="preserve">3. المعمارية العامة والطبقات</w:t>
      </w:r>
    </w:p>
    <w:p>
      <w:pPr>
        <w:bidi/>
        <w:spacing w:after="70" w:line="300"/>
        <w:jc w:val="right"/>
      </w:pPr>
      <w:r>
        <w:rPr>
          <w:rFonts w:ascii="Arial" w:cs="Arial" w:eastAsia="Arial" w:hAnsi="Arial"/>
          <w:color w:val="2A3147"/>
          <w:sz w:val="24"/>
          <w:szCs w:val="24"/>
          <w:rtl/>
        </w:rPr>
        <w:t xml:space="preserve">4. العناصر (الوكلاء) ووظائفها</w:t>
      </w:r>
    </w:p>
    <w:p>
      <w:pPr>
        <w:bidi/>
        <w:spacing w:after="70" w:line="300"/>
        <w:jc w:val="right"/>
      </w:pPr>
      <w:r>
        <w:rPr>
          <w:rFonts w:ascii="Arial" w:cs="Arial" w:eastAsia="Arial" w:hAnsi="Arial"/>
          <w:color w:val="2A3147"/>
          <w:sz w:val="24"/>
          <w:szCs w:val="24"/>
          <w:rtl/>
        </w:rPr>
        <w:t xml:space="preserve">5. النماذج اللغوية المعتمدة</w:t>
      </w:r>
    </w:p>
    <w:p>
      <w:pPr>
        <w:bidi/>
        <w:spacing w:after="70" w:line="300"/>
        <w:jc w:val="right"/>
      </w:pPr>
      <w:r>
        <w:rPr>
          <w:rFonts w:ascii="Arial" w:cs="Arial" w:eastAsia="Arial" w:hAnsi="Arial"/>
          <w:color w:val="2A3147"/>
          <w:sz w:val="24"/>
          <w:szCs w:val="24"/>
          <w:rtl/>
        </w:rPr>
        <w:t xml:space="preserve">6. محرّك الإجراءات (Rules-as-Code)</w:t>
      </w:r>
    </w:p>
    <w:p>
      <w:pPr>
        <w:bidi/>
        <w:spacing w:after="70" w:line="300"/>
        <w:jc w:val="right"/>
      </w:pPr>
      <w:r>
        <w:rPr>
          <w:rFonts w:ascii="Arial" w:cs="Arial" w:eastAsia="Arial" w:hAnsi="Arial"/>
          <w:color w:val="2A3147"/>
          <w:sz w:val="24"/>
          <w:szCs w:val="24"/>
          <w:rtl/>
        </w:rPr>
        <w:t xml:space="preserve">7. قواعد المعرفة والإسناد وبوابة الاستشهاد</w:t>
      </w:r>
    </w:p>
    <w:p>
      <w:pPr>
        <w:bidi/>
        <w:spacing w:after="70" w:line="300"/>
        <w:jc w:val="right"/>
      </w:pPr>
      <w:r>
        <w:rPr>
          <w:rFonts w:ascii="Arial" w:cs="Arial" w:eastAsia="Arial" w:hAnsi="Arial"/>
          <w:color w:val="2A3147"/>
          <w:sz w:val="24"/>
          <w:szCs w:val="24"/>
          <w:rtl/>
        </w:rPr>
        <w:t xml:space="preserve">8. آلية التفاعل وسير المحاكمة</w:t>
      </w:r>
    </w:p>
    <w:p>
      <w:pPr>
        <w:bidi/>
        <w:spacing w:after="70" w:line="300"/>
        <w:jc w:val="right"/>
      </w:pPr>
      <w:r>
        <w:rPr>
          <w:rFonts w:ascii="Arial" w:cs="Arial" w:eastAsia="Arial" w:hAnsi="Arial"/>
          <w:color w:val="2A3147"/>
          <w:sz w:val="24"/>
          <w:szCs w:val="24"/>
          <w:rtl/>
        </w:rPr>
        <w:t xml:space="preserve">9. الواجهة التفاعلية</w:t>
      </w:r>
    </w:p>
    <w:p>
      <w:pPr>
        <w:bidi/>
        <w:spacing w:after="70" w:line="300"/>
        <w:jc w:val="right"/>
      </w:pPr>
      <w:r>
        <w:rPr>
          <w:rFonts w:ascii="Arial" w:cs="Arial" w:eastAsia="Arial" w:hAnsi="Arial"/>
          <w:color w:val="2A3147"/>
          <w:sz w:val="24"/>
          <w:szCs w:val="24"/>
          <w:rtl/>
        </w:rPr>
        <w:t xml:space="preserve">10. التقييم والأمان وإخلاء المسؤولية</w:t>
      </w:r>
    </w:p>
    <w:p>
      <w:pPr>
        <w:bidi/>
        <w:spacing w:after="70" w:line="300"/>
        <w:jc w:val="right"/>
      </w:pPr>
      <w:r>
        <w:rPr>
          <w:rFonts w:ascii="Arial" w:cs="Arial" w:eastAsia="Arial" w:hAnsi="Arial"/>
          <w:color w:val="2A3147"/>
          <w:sz w:val="24"/>
          <w:szCs w:val="24"/>
          <w:rtl/>
        </w:rPr>
        <w:t xml:space="preserve">11. الأسس النظامية السعودية</w:t>
      </w:r>
    </w:p>
    <w:p>
      <w:pPr>
        <w:bidi/>
        <w:spacing w:after="70" w:line="300"/>
        <w:jc w:val="right"/>
      </w:pPr>
      <w:r>
        <w:rPr>
          <w:rFonts w:ascii="Arial" w:cs="Arial" w:eastAsia="Arial" w:hAnsi="Arial"/>
          <w:color w:val="2A3147"/>
          <w:sz w:val="24"/>
          <w:szCs w:val="24"/>
          <w:rtl/>
        </w:rPr>
        <w:t xml:space="preserve">12. الأسس البحثية والأوراق المعتمدة</w:t>
      </w:r>
    </w:p>
    <w:p>
      <w:pPr>
        <w:pageBreakBefore/>
      </w:pPr>
    </w:p>
    <w:p>
      <w:pPr>
        <w:pStyle w:val="Heading1"/>
        <w:bidi/>
        <w:jc w:val="right"/>
      </w:pPr>
      <w:r>
        <w:rPr>
          <w:rFonts w:ascii="Arial" w:cs="Arial" w:eastAsia="Arial" w:hAnsi="Arial"/>
          <w:b/>
          <w:bCs/>
          <w:rtl/>
        </w:rPr>
        <w:t xml:space="preserve">1. نبذة تنفيذية</w:t>
      </w:r>
    </w:p>
    <w:p>
      <w:pPr>
        <w:bidi/>
        <w:spacing w:after="120" w:line="312"/>
        <w:jc w:val="right"/>
      </w:pPr>
      <w:r>
        <w:rPr>
          <w:rFonts w:ascii="Arial" w:cs="Arial" w:eastAsia="Arial" w:hAnsi="Arial"/>
          <w:rtl/>
        </w:rPr>
        <w:t xml:space="preserve">«بيّن» نظامُ ذكاءٍ اصطناعيٍّ متعدّد الوكلاء يُحاكي إجراءات التقاضي في القضاء السعودي محاكاةً واقعية، من قيد الدعوى أمام المحكمة الابتدائية حتى صدور الحكم، ثم طرق الاعتراض عليه استئنافاً أو التماساً لإعادة النظر. الهدف منه أن يتدرّب المحامي على قضيته في بيئةٍ آمنة: يرى كيف يبني الخصم دفوعه، وكيف يدير القاضي الجلسات ويُسبّب حكمه، فيختبر استراتيجيته قبل الترافع الحقيقي.</w:t>
      </w:r>
    </w:p>
    <w:p>
      <w:pPr>
        <w:bidi/>
        <w:spacing w:after="120" w:line="312"/>
        <w:jc w:val="right"/>
      </w:pPr>
      <w:r>
        <w:rPr>
          <w:rFonts w:ascii="Arial" w:cs="Arial" w:eastAsia="Arial" w:hAnsi="Arial"/>
          <w:rtl/>
        </w:rPr>
        <w:t xml:space="preserve">يجمع النظام بين أمرين: محرّكٍ إجرائيٍّ حتميٍّ يضبط تسلسل المحاكمة ومواعيدها وقواعدها ضبطاً قابلاً للتدقيق، ونماذجَ لغويةٍ متقدّمة (من عائلة GPT‑5.4) تولّد المحتوى القانوني — المذكرات والتسبيب والمنطوق — مع إلزامها بالاستناد إلى مصادر نظاميةٍ حقيقية. وكلّ خطوةٍ تُسجَّل في سجلّ تدقيقٍ كامل.</w:t>
      </w:r>
    </w:p>
    <w:p>
      <w:pPr>
        <w:bidi/>
        <w:spacing w:after="120" w:line="312"/>
        <w:jc w:val="right"/>
      </w:pPr>
      <w:r>
        <w:rPr>
          <w:rFonts w:ascii="Arial" w:cs="Arial" w:eastAsia="Arial" w:hAnsi="Arial"/>
          <w:b/>
          <w:bCs/>
          <w:color w:val="B23A5B"/>
          <w:rtl/>
        </w:rPr>
        <w:t xml:space="preserve">تنبيه جوهري: </w:t>
      </w:r>
      <w:r>
        <w:rPr>
          <w:rFonts w:ascii="Arial" w:cs="Arial" w:eastAsia="Arial" w:hAnsi="Arial"/>
          <w:rtl/>
        </w:rPr>
        <w:t xml:space="preserve">جميع مخرجات النظام محاكاةٌ تدريبية، وليست أحكاماً قضائيةً حقيقية ولا استشاراتٍ قانونية. على المحامي التحقّق من كل إسنادٍ نظاميٍّ قبل الاعتماد عليه.</w:t>
      </w:r>
    </w:p>
    <w:p>
      <w:pPr>
        <w:pStyle w:val="Heading1"/>
        <w:bidi/>
        <w:jc w:val="right"/>
      </w:pPr>
      <w:r>
        <w:rPr>
          <w:rFonts w:ascii="Arial" w:cs="Arial" w:eastAsia="Arial" w:hAnsi="Arial"/>
          <w:b/>
          <w:bCs/>
          <w:rtl/>
        </w:rPr>
        <w:t xml:space="preserve">2. المبدأ الحاكم للتصميم</w:t>
      </w:r>
    </w:p>
    <w:p>
      <w:pPr>
        <w:bidi/>
        <w:spacing w:after="120" w:line="312"/>
        <w:jc w:val="right"/>
      </w:pPr>
      <w:r>
        <w:rPr>
          <w:rFonts w:ascii="Arial" w:cs="Arial" w:eastAsia="Arial" w:hAnsi="Arial"/>
          <w:b/>
          <w:bCs/>
          <w:color w:val="3B4FB8"/>
          <w:sz w:val="26"/>
          <w:szCs w:val="26"/>
          <w:rtl/>
        </w:rPr>
        <w:t xml:space="preserve">الإجراء القضائي = كودٌ حتمي. المحتوى القانوني = نموذجٌ لغويٌّ مُسنَدٌ بمصدر.</w:t>
      </w:r>
    </w:p>
    <w:p>
      <w:pPr>
        <w:bidi/>
        <w:spacing w:after="120" w:line="312"/>
        <w:jc w:val="right"/>
      </w:pPr>
      <w:r>
        <w:rPr>
          <w:rFonts w:ascii="Arial" w:cs="Arial" w:eastAsia="Arial" w:hAnsi="Arial"/>
          <w:rtl/>
        </w:rPr>
        <w:t xml:space="preserve">هذا الفصل هو حجر الأساس: لا يُترَك للنموذج اللغوي تحديدُ ما هي الخطوة التالية، ولا حسابُ المواعيد، ولا الفصلُ في قابلية الاعتراض؛ فهذه كلها قواعد مكتوبة بالكود (Rules‑as‑Code) يمكن اختبارها والاحتجاج بها. أمّا النموذج فيتولّى توليد الحجج والمذكرات والتسبيب، مُلزَماً بذكر إسناداته من قواعد المعرفة.</w:t>
      </w:r>
    </w:p>
    <w:p>
      <w:pPr>
        <w:bidi/>
        <w:spacing w:after="120" w:line="312"/>
        <w:jc w:val="right"/>
      </w:pPr>
      <w:r>
        <w:rPr>
          <w:rFonts w:ascii="Arial" w:cs="Arial" w:eastAsia="Arial" w:hAnsi="Arial"/>
          <w:b/>
          <w:bCs/>
          <w:rtl/>
        </w:rPr>
        <w:t xml:space="preserve">المبرّر البحثي: </w:t>
      </w:r>
      <w:r>
        <w:rPr>
          <w:rFonts w:ascii="Arial" w:cs="Arial" w:eastAsia="Arial" w:hAnsi="Arial"/>
          <w:rtl/>
        </w:rPr>
        <w:t xml:space="preserve">أظهرت دراسة جامعة ستانفورد أن نماذج اللغة تُنتج هلوسةً قانونية بنسبة 69%–88% عند الأسئلة القانونية المحدّدة. لذا فإن ترك ضبط الإجراء أو الاستشهاد للنموذج وحده خطرٌ مباشر على المحامي — ومن هنا جاء الفصل الصارم بين الإجراء (كود) والمحتوى (نموذج مُراقَب).</w:t>
      </w:r>
    </w:p>
    <w:p>
      <w:pPr>
        <w:pStyle w:val="Heading1"/>
        <w:bidi/>
        <w:jc w:val="right"/>
      </w:pPr>
      <w:r>
        <w:rPr>
          <w:rFonts w:ascii="Arial" w:cs="Arial" w:eastAsia="Arial" w:hAnsi="Arial"/>
          <w:b/>
          <w:bCs/>
          <w:rtl/>
        </w:rPr>
        <w:t xml:space="preserve">3. المعمارية العامة والطبقات</w:t>
      </w:r>
    </w:p>
    <w:p>
      <w:pPr>
        <w:bidi/>
        <w:spacing w:after="120" w:line="312"/>
        <w:jc w:val="right"/>
      </w:pPr>
      <w:r>
        <w:rPr>
          <w:rFonts w:ascii="Arial" w:cs="Arial" w:eastAsia="Arial" w:hAnsi="Arial"/>
          <w:rtl/>
        </w:rPr>
        <w:t xml:space="preserve">يتكوّن النظام من خمس طبقاتٍ متراكبة، يدير تسلسلَها إطارُ LangGraph بوصفه آلة حالةٍ حتمية (State Machine) تمثّل الطوبولوجيا فيها الإجراءَ نفسه، فلا يمكن تخطّي خطوة، وكل انتقالٍ محفوظٌ بنقطة تدقيق (Checkpoint) قابلة لإعادة التشغيل.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3100"/>
        <w:gridCol w:w="4076"/>
      </w:tblGrid>
      <w:tr>
        <w:trPr>
          <w:tblHeader/>
        </w:trPr>
        <w:tc>
          <w:tcPr>
            <w:tcW w:type="dxa" w:w="1850"/>
            <w:tcBorders>
              <w:top w:val="single" w:color="C9D2E6" w:sz="4"/>
              <w:left w:val="single" w:color="C9D2E6" w:sz="4"/>
              <w:bottom w:val="single" w:color="C9D2E6" w:sz="4"/>
              <w:right w:val="single" w:color="C9D2E6" w:sz="4"/>
            </w:tcBorders>
            <w:shd w:fill="DDE3F7" w:val="clear"/>
            <w:tcMar>
              <w:top w:type="dxa" w:w="66"/>
              <w:left w:type="dxa" w:w="110"/>
              <w:bottom w:type="dxa" w:w="66"/>
              <w:right w:type="dxa" w:w="110"/>
            </w:tcMar>
            <w:vAlign w:val="center"/>
          </w:tcPr>
          <w:p>
            <w:pPr>
              <w:bidi/>
              <w:spacing w:after="0" w:line="286"/>
              <w:jc w:val="right"/>
            </w:pPr>
            <w:r>
              <w:rPr>
                <w:rFonts w:ascii="Arial" w:cs="Arial" w:eastAsia="Arial" w:hAnsi="Arial"/>
                <w:b/>
                <w:bCs/>
                <w:color w:val="1B2440"/>
                <w:rtl/>
              </w:rPr>
              <w:t xml:space="preserve">الطبقة</w:t>
            </w:r>
          </w:p>
        </w:tc>
        <w:tc>
          <w:tcPr>
            <w:tcW w:type="dxa" w:w="3100"/>
            <w:tcBorders>
              <w:top w:val="single" w:color="C9D2E6" w:sz="4"/>
              <w:left w:val="single" w:color="C9D2E6" w:sz="4"/>
              <w:bottom w:val="single" w:color="C9D2E6" w:sz="4"/>
              <w:right w:val="single" w:color="C9D2E6" w:sz="4"/>
            </w:tcBorders>
            <w:shd w:fill="DDE3F7" w:val="clear"/>
            <w:tcMar>
              <w:top w:type="dxa" w:w="66"/>
              <w:left w:type="dxa" w:w="110"/>
              <w:bottom w:type="dxa" w:w="66"/>
              <w:right w:type="dxa" w:w="110"/>
            </w:tcMar>
            <w:vAlign w:val="center"/>
          </w:tcPr>
          <w:p>
            <w:pPr>
              <w:bidi/>
              <w:spacing w:after="0" w:line="286"/>
              <w:jc w:val="right"/>
            </w:pPr>
            <w:r>
              <w:rPr>
                <w:rFonts w:ascii="Arial" w:cs="Arial" w:eastAsia="Arial" w:hAnsi="Arial"/>
                <w:b/>
                <w:bCs/>
                <w:color w:val="1B2440"/>
                <w:rtl/>
              </w:rPr>
              <w:t xml:space="preserve">المكوّن</w:t>
            </w:r>
          </w:p>
        </w:tc>
        <w:tc>
          <w:tcPr>
            <w:tcW w:type="dxa" w:w="4076"/>
            <w:tcBorders>
              <w:top w:val="single" w:color="C9D2E6" w:sz="4"/>
              <w:left w:val="single" w:color="C9D2E6" w:sz="4"/>
              <w:bottom w:val="single" w:color="C9D2E6" w:sz="4"/>
              <w:right w:val="single" w:color="C9D2E6" w:sz="4"/>
            </w:tcBorders>
            <w:shd w:fill="DDE3F7" w:val="clear"/>
            <w:tcMar>
              <w:top w:type="dxa" w:w="66"/>
              <w:left w:type="dxa" w:w="110"/>
              <w:bottom w:type="dxa" w:w="66"/>
              <w:right w:type="dxa" w:w="110"/>
            </w:tcMar>
            <w:vAlign w:val="center"/>
          </w:tcPr>
          <w:p>
            <w:pPr>
              <w:bidi/>
              <w:spacing w:after="0" w:line="286"/>
              <w:jc w:val="right"/>
            </w:pPr>
            <w:r>
              <w:rPr>
                <w:rFonts w:ascii="Arial" w:cs="Arial" w:eastAsia="Arial" w:hAnsi="Arial"/>
                <w:b/>
                <w:bCs/>
                <w:color w:val="1B2440"/>
                <w:rtl/>
              </w:rPr>
              <w:t xml:space="preserve">الوظيفة</w:t>
            </w:r>
          </w:p>
        </w:tc>
      </w:tr>
      <w:tr>
        <w:tc>
          <w:tcPr>
            <w:tcW w:type="dxa" w:w="185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0 — الحالة</w:t>
            </w:r>
          </w:p>
        </w:tc>
        <w:tc>
          <w:tcPr>
            <w:tcW w:type="dxa" w:w="31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CaseState + Checkpointer</w:t>
            </w:r>
          </w:p>
        </w:tc>
        <w:tc>
          <w:tcPr>
            <w:tcW w:type="dxa" w:w="407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حفظ كامل بيانات الدعوى وكل انتقالٍ بين المراحل، لإعادة التشغيل والتدقيق.</w:t>
            </w:r>
          </w:p>
        </w:tc>
      </w:tr>
      <w:tr>
        <w:tc>
          <w:tcPr>
            <w:tcW w:type="dxa" w:w="185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1 — المحرّك</w:t>
            </w:r>
          </w:p>
        </w:tc>
        <w:tc>
          <w:tcPr>
            <w:tcW w:type="dxa" w:w="31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LangGraph + Rules‑as‑Code</w:t>
            </w:r>
          </w:p>
        </w:tc>
        <w:tc>
          <w:tcPr>
            <w:tcW w:type="dxa" w:w="4076"/>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ضبط تسلسل المراحل والمواعيد وقابلية الاعتراض (حتمي، لا نموذج).</w:t>
            </w:r>
          </w:p>
        </w:tc>
      </w:tr>
      <w:tr>
        <w:tc>
          <w:tcPr>
            <w:tcW w:type="dxa" w:w="185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2 — الوكلاء</w:t>
            </w:r>
          </w:p>
        </w:tc>
        <w:tc>
          <w:tcPr>
            <w:tcW w:type="dxa" w:w="31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نماذج OpenAI</w:t>
            </w:r>
          </w:p>
        </w:tc>
        <w:tc>
          <w:tcPr>
            <w:tcW w:type="dxa" w:w="407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توليد المحتوى لكل دور (مُسجِّل، مدعى عليه، قاضٍ، خبير، دائرة).</w:t>
            </w:r>
          </w:p>
        </w:tc>
      </w:tr>
      <w:tr>
        <w:tc>
          <w:tcPr>
            <w:tcW w:type="dxa" w:w="185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3 — الإسناد</w:t>
            </w:r>
          </w:p>
        </w:tc>
        <w:tc>
          <w:tcPr>
            <w:tcW w:type="dxa" w:w="31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file_search + web_search + بوابة الاستشهاد</w:t>
            </w:r>
          </w:p>
        </w:tc>
        <w:tc>
          <w:tcPr>
            <w:tcW w:type="dxa" w:w="4076"/>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استرجاع النصوص النظامية والسوابق، والتحقّق من إسناد كل قول.</w:t>
            </w:r>
          </w:p>
        </w:tc>
      </w:tr>
      <w:tr>
        <w:tc>
          <w:tcPr>
            <w:tcW w:type="dxa" w:w="185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4 — الأمان</w:t>
            </w:r>
          </w:p>
        </w:tc>
        <w:tc>
          <w:tcPr>
            <w:tcW w:type="dxa" w:w="31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سجلّ التدقيق + إخلاء المسؤولية + مقاومة التحيّز</w:t>
            </w:r>
          </w:p>
        </w:tc>
        <w:tc>
          <w:tcPr>
            <w:tcW w:type="dxa" w:w="407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موثوقية الأداة وأمانها أمام المستخدم.</w:t>
            </w:r>
          </w:p>
        </w:tc>
      </w:tr>
    </w:tbl>
    <w:p>
      <w:pPr>
        <w:pStyle w:val="Heading1"/>
        <w:bidi/>
        <w:jc w:val="right"/>
      </w:pPr>
      <w:r>
        <w:rPr>
          <w:rFonts w:ascii="Arial" w:cs="Arial" w:eastAsia="Arial" w:hAnsi="Arial"/>
          <w:b/>
          <w:bCs/>
          <w:rtl/>
        </w:rPr>
        <w:t xml:space="preserve">4. العناصر (الوكلاء) ووظائفها</w:t>
      </w:r>
    </w:p>
    <w:p>
      <w:pPr>
        <w:bidi/>
        <w:spacing w:after="120" w:line="312"/>
        <w:jc w:val="right"/>
      </w:pPr>
      <w:r>
        <w:rPr>
          <w:rFonts w:ascii="Arial" w:cs="Arial" w:eastAsia="Arial" w:hAnsi="Arial"/>
          <w:rtl/>
        </w:rPr>
        <w:t xml:space="preserve">لكلّ دورٍ في المحكمة وكيلٌ مستقل، له تعليماته ونموذجه وأدوات بحثه. ويلعب المحامي البشري دور موكّله (مدعياً كان أو مدعى عليه)، بينما يلعب النظام بقية الأدوار.</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50"/>
        <w:gridCol w:w="5476"/>
      </w:tblGrid>
      <w:tr>
        <w:trPr>
          <w:tblHeader/>
        </w:trPr>
        <w:tc>
          <w:tcPr>
            <w:tcW w:type="dxa" w:w="1700"/>
            <w:tcBorders>
              <w:top w:val="single" w:color="C9D2E6" w:sz="4"/>
              <w:left w:val="single" w:color="C9D2E6" w:sz="4"/>
              <w:bottom w:val="single" w:color="C9D2E6" w:sz="4"/>
              <w:right w:val="single" w:color="C9D2E6" w:sz="4"/>
            </w:tcBorders>
            <w:shd w:fill="DDE3F7" w:val="clear"/>
            <w:tcMar>
              <w:top w:type="dxa" w:w="66"/>
              <w:left w:type="dxa" w:w="110"/>
              <w:bottom w:type="dxa" w:w="66"/>
              <w:right w:type="dxa" w:w="110"/>
            </w:tcMar>
            <w:vAlign w:val="center"/>
          </w:tcPr>
          <w:p>
            <w:pPr>
              <w:bidi/>
              <w:spacing w:after="0" w:line="286"/>
              <w:jc w:val="right"/>
            </w:pPr>
            <w:r>
              <w:rPr>
                <w:rFonts w:ascii="Arial" w:cs="Arial" w:eastAsia="Arial" w:hAnsi="Arial"/>
                <w:b/>
                <w:bCs/>
                <w:color w:val="1B2440"/>
                <w:rtl/>
              </w:rPr>
              <w:t xml:space="preserve">الدور</w:t>
            </w:r>
          </w:p>
        </w:tc>
        <w:tc>
          <w:tcPr>
            <w:tcW w:type="dxa" w:w="1850"/>
            <w:tcBorders>
              <w:top w:val="single" w:color="C9D2E6" w:sz="4"/>
              <w:left w:val="single" w:color="C9D2E6" w:sz="4"/>
              <w:bottom w:val="single" w:color="C9D2E6" w:sz="4"/>
              <w:right w:val="single" w:color="C9D2E6" w:sz="4"/>
            </w:tcBorders>
            <w:shd w:fill="DDE3F7" w:val="clear"/>
            <w:tcMar>
              <w:top w:type="dxa" w:w="66"/>
              <w:left w:type="dxa" w:w="110"/>
              <w:bottom w:type="dxa" w:w="66"/>
              <w:right w:type="dxa" w:w="110"/>
            </w:tcMar>
            <w:vAlign w:val="center"/>
          </w:tcPr>
          <w:p>
            <w:pPr>
              <w:bidi/>
              <w:spacing w:after="0" w:line="286"/>
              <w:jc w:val="right"/>
            </w:pPr>
            <w:r>
              <w:rPr>
                <w:rFonts w:ascii="Arial" w:cs="Arial" w:eastAsia="Arial" w:hAnsi="Arial"/>
                <w:b/>
                <w:bCs/>
                <w:color w:val="1B2440"/>
                <w:rtl/>
              </w:rPr>
              <w:t xml:space="preserve">النموذج</w:t>
            </w:r>
          </w:p>
        </w:tc>
        <w:tc>
          <w:tcPr>
            <w:tcW w:type="dxa" w:w="5476"/>
            <w:tcBorders>
              <w:top w:val="single" w:color="C9D2E6" w:sz="4"/>
              <w:left w:val="single" w:color="C9D2E6" w:sz="4"/>
              <w:bottom w:val="single" w:color="C9D2E6" w:sz="4"/>
              <w:right w:val="single" w:color="C9D2E6" w:sz="4"/>
            </w:tcBorders>
            <w:shd w:fill="DDE3F7" w:val="clear"/>
            <w:tcMar>
              <w:top w:type="dxa" w:w="66"/>
              <w:left w:type="dxa" w:w="110"/>
              <w:bottom w:type="dxa" w:w="66"/>
              <w:right w:type="dxa" w:w="110"/>
            </w:tcMar>
            <w:vAlign w:val="center"/>
          </w:tcPr>
          <w:p>
            <w:pPr>
              <w:bidi/>
              <w:spacing w:after="0" w:line="286"/>
              <w:jc w:val="right"/>
            </w:pPr>
            <w:r>
              <w:rPr>
                <w:rFonts w:ascii="Arial" w:cs="Arial" w:eastAsia="Arial" w:hAnsi="Arial"/>
                <w:b/>
                <w:bCs/>
                <w:color w:val="1B2440"/>
                <w:rtl/>
              </w:rPr>
              <w:t xml:space="preserve">الوظيفة</w:t>
            </w:r>
          </w:p>
        </w:tc>
      </w:tr>
      <w:tr>
        <w:tc>
          <w:tcPr>
            <w:tcW w:type="dxa" w:w="17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المُوجِّه (Router)</w:t>
            </w:r>
          </w:p>
        </w:tc>
        <w:tc>
          <w:tcPr>
            <w:tcW w:type="dxa" w:w="185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gpt‑5.4‑mini</w:t>
            </w:r>
          </w:p>
        </w:tc>
        <w:tc>
          <w:tcPr>
            <w:tcW w:type="dxa" w:w="547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يصنّف نوع الدعوى ودرجة تعقيدها ويوجّه المسار (يخفّض زمن الاستجابة).</w:t>
            </w:r>
          </w:p>
        </w:tc>
      </w:tr>
      <w:tr>
        <w:tc>
          <w:tcPr>
            <w:tcW w:type="dxa" w:w="17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المُسجِّل/المشرف</w:t>
            </w:r>
          </w:p>
        </w:tc>
        <w:tc>
          <w:tcPr>
            <w:tcW w:type="dxa" w:w="185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gpt‑5.4</w:t>
            </w:r>
          </w:p>
        </w:tc>
        <w:tc>
          <w:tcPr>
            <w:tcW w:type="dxa" w:w="5476"/>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يدقّق صحيفة الدعوى شكلاً وموضوعاً مقابل متطلبات الأنظمة.</w:t>
            </w:r>
          </w:p>
        </w:tc>
      </w:tr>
      <w:tr>
        <w:tc>
          <w:tcPr>
            <w:tcW w:type="dxa" w:w="17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وكيل المدعى عليه</w:t>
            </w:r>
          </w:p>
        </w:tc>
        <w:tc>
          <w:tcPr>
            <w:tcW w:type="dxa" w:w="185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gpt‑5.4</w:t>
            </w:r>
          </w:p>
        </w:tc>
        <w:tc>
          <w:tcPr>
            <w:tcW w:type="dxa" w:w="547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يحلّل الدعوى ويبني الدفوع الشكلية ثم الموضوعية (أسلوب AdvEvol التنافسي).</w:t>
            </w:r>
          </w:p>
        </w:tc>
      </w:tr>
      <w:tr>
        <w:tc>
          <w:tcPr>
            <w:tcW w:type="dxa" w:w="17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وكيل المدعي</w:t>
            </w:r>
          </w:p>
        </w:tc>
        <w:tc>
          <w:tcPr>
            <w:tcW w:type="dxa" w:w="185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المحامي البشري</w:t>
            </w:r>
          </w:p>
        </w:tc>
        <w:tc>
          <w:tcPr>
            <w:tcW w:type="dxa" w:w="5476"/>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يقدّم الصحيفة والردود ويتمسّك بطلباته (يمكن أن يلعبه النظام).</w:t>
            </w:r>
          </w:p>
        </w:tc>
      </w:tr>
      <w:tr>
        <w:tc>
          <w:tcPr>
            <w:tcW w:type="dxa" w:w="17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القاضي الابتدائي</w:t>
            </w:r>
          </w:p>
        </w:tc>
        <w:tc>
          <w:tcPr>
            <w:tcW w:type="dxa" w:w="185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gpt‑5.4 / gpt‑5.4‑pro</w:t>
            </w:r>
          </w:p>
        </w:tc>
        <w:tc>
          <w:tcPr>
            <w:tcW w:type="dxa" w:w="547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يدير الجلسات، ويقرّر ندب الخبير، ويصوغ صكّ الحكم.</w:t>
            </w:r>
          </w:p>
        </w:tc>
      </w:tr>
      <w:tr>
        <w:tc>
          <w:tcPr>
            <w:tcW w:type="dxa" w:w="17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الخبير (عند الحاجة)</w:t>
            </w:r>
          </w:p>
        </w:tc>
        <w:tc>
          <w:tcPr>
            <w:tcW w:type="dxa" w:w="185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gpt‑5.4</w:t>
            </w:r>
          </w:p>
        </w:tc>
        <w:tc>
          <w:tcPr>
            <w:tcW w:type="dxa" w:w="5476"/>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يُندب لمسألةٍ فنية/محاسبية ويقدّم تقريراً مسبّباً.</w:t>
            </w:r>
          </w:p>
        </w:tc>
      </w:tr>
      <w:tr>
        <w:tc>
          <w:tcPr>
            <w:tcW w:type="dxa" w:w="17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دائرة الاستئناف (×3)</w:t>
            </w:r>
          </w:p>
        </w:tc>
        <w:tc>
          <w:tcPr>
            <w:tcW w:type="dxa" w:w="185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gpt‑5.4‑pro</w:t>
            </w:r>
          </w:p>
        </w:tc>
        <w:tc>
          <w:tcPr>
            <w:tcW w:type="dxa" w:w="547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ثلاثة قضاة بعدساتٍ متمايزة: تصويتٌ أعمى ثم مداولة ثم إجماع.</w:t>
            </w:r>
          </w:p>
        </w:tc>
      </w:tr>
    </w:tbl>
    <w:p>
      <w:pPr>
        <w:pStyle w:val="Heading1"/>
        <w:bidi/>
        <w:jc w:val="right"/>
      </w:pPr>
      <w:r>
        <w:rPr>
          <w:rFonts w:ascii="Arial" w:cs="Arial" w:eastAsia="Arial" w:hAnsi="Arial"/>
          <w:b/>
          <w:bCs/>
          <w:rtl/>
        </w:rPr>
        <w:t xml:space="preserve">5. النماذج اللغوية المعتمدة</w:t>
      </w:r>
    </w:p>
    <w:p>
      <w:pPr>
        <w:bidi/>
        <w:spacing w:after="120" w:line="312"/>
        <w:jc w:val="right"/>
      </w:pPr>
      <w:r>
        <w:rPr>
          <w:rFonts w:ascii="Arial" w:cs="Arial" w:eastAsia="Arial" w:hAnsi="Arial"/>
          <w:rtl/>
        </w:rPr>
        <w:t xml:space="preserve">يعتمد النظام نمط «الموجِّه السريع»: نموذجٌ خفيف للتصنيف والتوجيه، ونموذجٌ قياسيٌّ للوكلاء، ونموذجٌ متقدّمٌ للقضايا الشائكة والنطق بالحكم ومداولة الدائرة. وقد أظهر البحث أن نماذج OpenAI تتفوّق بوضوحٍ على النماذج العربية المتخصّصة في مهام الاستدلال القانوني السعودي عند الاستخدام المباشر.</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9D2E6" w:sz="4"/>
              <w:left w:val="single" w:color="C9D2E6" w:sz="4"/>
              <w:bottom w:val="single" w:color="C9D2E6" w:sz="4"/>
              <w:right w:val="single" w:color="C9D2E6" w:sz="4"/>
            </w:tcBorders>
            <w:shd w:fill="DDE3F7" w:val="clear"/>
            <w:tcMar>
              <w:top w:type="dxa" w:w="66"/>
              <w:left w:type="dxa" w:w="110"/>
              <w:bottom w:type="dxa" w:w="66"/>
              <w:right w:type="dxa" w:w="110"/>
            </w:tcMar>
            <w:vAlign w:val="center"/>
          </w:tcPr>
          <w:p>
            <w:pPr>
              <w:bidi/>
              <w:spacing w:after="0" w:line="286"/>
              <w:jc w:val="right"/>
            </w:pPr>
            <w:r>
              <w:rPr>
                <w:rFonts w:ascii="Arial" w:cs="Arial" w:eastAsia="Arial" w:hAnsi="Arial"/>
                <w:b/>
                <w:bCs/>
                <w:color w:val="1B2440"/>
                <w:rtl/>
              </w:rPr>
              <w:t xml:space="preserve">النموذج</w:t>
            </w:r>
          </w:p>
        </w:tc>
        <w:tc>
          <w:tcPr>
            <w:tcW w:type="dxa" w:w="2400"/>
            <w:tcBorders>
              <w:top w:val="single" w:color="C9D2E6" w:sz="4"/>
              <w:left w:val="single" w:color="C9D2E6" w:sz="4"/>
              <w:bottom w:val="single" w:color="C9D2E6" w:sz="4"/>
              <w:right w:val="single" w:color="C9D2E6" w:sz="4"/>
            </w:tcBorders>
            <w:shd w:fill="DDE3F7" w:val="clear"/>
            <w:tcMar>
              <w:top w:type="dxa" w:w="66"/>
              <w:left w:type="dxa" w:w="110"/>
              <w:bottom w:type="dxa" w:w="66"/>
              <w:right w:type="dxa" w:w="110"/>
            </w:tcMar>
            <w:vAlign w:val="center"/>
          </w:tcPr>
          <w:p>
            <w:pPr>
              <w:bidi/>
              <w:spacing w:after="0" w:line="286"/>
              <w:jc w:val="right"/>
            </w:pPr>
            <w:r>
              <w:rPr>
                <w:rFonts w:ascii="Arial" w:cs="Arial" w:eastAsia="Arial" w:hAnsi="Arial"/>
                <w:b/>
                <w:bCs/>
                <w:color w:val="1B2440"/>
                <w:rtl/>
              </w:rPr>
              <w:t xml:space="preserve">الاستخدام</w:t>
            </w:r>
          </w:p>
        </w:tc>
        <w:tc>
          <w:tcPr>
            <w:tcW w:type="dxa" w:w="4226"/>
            <w:tcBorders>
              <w:top w:val="single" w:color="C9D2E6" w:sz="4"/>
              <w:left w:val="single" w:color="C9D2E6" w:sz="4"/>
              <w:bottom w:val="single" w:color="C9D2E6" w:sz="4"/>
              <w:right w:val="single" w:color="C9D2E6" w:sz="4"/>
            </w:tcBorders>
            <w:shd w:fill="DDE3F7" w:val="clear"/>
            <w:tcMar>
              <w:top w:type="dxa" w:w="66"/>
              <w:left w:type="dxa" w:w="110"/>
              <w:bottom w:type="dxa" w:w="66"/>
              <w:right w:type="dxa" w:w="110"/>
            </w:tcMar>
            <w:vAlign w:val="center"/>
          </w:tcPr>
          <w:p>
            <w:pPr>
              <w:bidi/>
              <w:spacing w:after="0" w:line="286"/>
              <w:jc w:val="right"/>
            </w:pPr>
            <w:r>
              <w:rPr>
                <w:rFonts w:ascii="Arial" w:cs="Arial" w:eastAsia="Arial" w:hAnsi="Arial"/>
                <w:b/>
                <w:bCs/>
                <w:color w:val="1B2440"/>
                <w:rtl/>
              </w:rPr>
              <w:t xml:space="preserve">السبب</w:t>
            </w:r>
          </w:p>
        </w:tc>
      </w:tr>
      <w:tr>
        <w:tc>
          <w:tcPr>
            <w:tcW w:type="dxa" w:w="24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gpt‑5.4‑mini</w:t>
            </w:r>
          </w:p>
        </w:tc>
        <w:tc>
          <w:tcPr>
            <w:tcW w:type="dxa" w:w="24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المُوجِّه السريع</w:t>
            </w:r>
          </w:p>
        </w:tc>
        <w:tc>
          <w:tcPr>
            <w:tcW w:type="dxa" w:w="422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تصنيفٌ وتوجيهٌ بأقلّ زمنِ استجابة.</w:t>
            </w:r>
          </w:p>
        </w:tc>
      </w:tr>
      <w:tr>
        <w:tc>
          <w:tcPr>
            <w:tcW w:type="dxa" w:w="24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gpt‑5.4‑2026‑03‑05</w:t>
            </w:r>
          </w:p>
        </w:tc>
        <w:tc>
          <w:tcPr>
            <w:tcW w:type="dxa" w:w="24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الوكلاء القياسيون</w:t>
            </w:r>
          </w:p>
        </w:tc>
        <w:tc>
          <w:tcPr>
            <w:tcW w:type="dxa" w:w="4226"/>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استدلالٌ قانونيٌّ متوازنٌ مع ضبط التكلفة (إصدار مثبّت).</w:t>
            </w:r>
          </w:p>
        </w:tc>
      </w:tr>
      <w:tr>
        <w:tc>
          <w:tcPr>
            <w:tcW w:type="dxa" w:w="24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gpt‑5.4‑pro</w:t>
            </w:r>
          </w:p>
        </w:tc>
        <w:tc>
          <w:tcPr>
            <w:tcW w:type="dxa" w:w="24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الحكم والدائرة والشائك</w:t>
            </w:r>
          </w:p>
        </w:tc>
        <w:tc>
          <w:tcPr>
            <w:tcW w:type="dxa" w:w="422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أعلى دقّةٍ في التسبيب والمداولة الجماعية.</w:t>
            </w:r>
          </w:p>
        </w:tc>
      </w:tr>
    </w:tbl>
    <w:p>
      <w:pPr>
        <w:pStyle w:val="Heading1"/>
        <w:bidi/>
        <w:jc w:val="right"/>
      </w:pPr>
      <w:r>
        <w:rPr>
          <w:rFonts w:ascii="Arial" w:cs="Arial" w:eastAsia="Arial" w:hAnsi="Arial"/>
          <w:b/>
          <w:bCs/>
          <w:rtl/>
        </w:rPr>
        <w:t xml:space="preserve">6. محرّك الإجراءات (Rules‑as‑Code)</w:t>
      </w:r>
    </w:p>
    <w:p>
      <w:pPr>
        <w:bidi/>
        <w:spacing w:after="120" w:line="312"/>
        <w:jc w:val="right"/>
      </w:pPr>
      <w:r>
        <w:rPr>
          <w:rFonts w:ascii="Arial" w:cs="Arial" w:eastAsia="Arial" w:hAnsi="Arial"/>
          <w:rtl/>
        </w:rPr>
        <w:t xml:space="preserve">هو «القاضي الإجرائي» للنظام: وحدةٌ حتميةٌ خاليةٌ من أي نموذجٍ لغوي، تُحسَم فيها بالكود المسائلُ التي لا تحتمل الاجتهاد العشوائي:</w:t>
      </w:r>
    </w:p>
    <w:p>
      <w:pPr>
        <w:pStyle w:val="ListParagraph"/>
        <w:numPr>
          <w:ilvl w:val="0"/>
          <w:numId w:val="2"/>
        </w:numPr>
        <w:bidi/>
        <w:spacing w:after="60" w:line="300"/>
        <w:jc w:val="right"/>
      </w:pPr>
      <w:r>
        <w:rPr>
          <w:rFonts w:ascii="Arial" w:cs="Arial" w:eastAsia="Arial" w:hAnsi="Arial"/>
          <w:rtl/>
        </w:rPr>
        <w:t xml:space="preserve">تدقيق صحيفة الدعوى شكلاً: اكتمال البيانات، ووجود مدعٍ ومدعى عليه، وقيمة المطالبة.</w:t>
      </w:r>
    </w:p>
    <w:p>
      <w:pPr>
        <w:pStyle w:val="ListParagraph"/>
        <w:numPr>
          <w:ilvl w:val="0"/>
          <w:numId w:val="2"/>
        </w:numPr>
        <w:bidi/>
        <w:spacing w:after="60" w:line="300"/>
        <w:jc w:val="right"/>
      </w:pPr>
      <w:r>
        <w:rPr>
          <w:rFonts w:ascii="Arial" w:cs="Arial" w:eastAsia="Arial" w:hAnsi="Arial"/>
          <w:rtl/>
        </w:rPr>
        <w:t xml:space="preserve">إدارة حلقة تبادل المذكرات وضبط «التشبّع» (سقفُ جولاتٍ يمنع التكرار اللانهائي).</w:t>
      </w:r>
    </w:p>
    <w:p>
      <w:pPr>
        <w:pStyle w:val="ListParagraph"/>
        <w:numPr>
          <w:ilvl w:val="0"/>
          <w:numId w:val="2"/>
        </w:numPr>
        <w:bidi/>
        <w:spacing w:after="60" w:line="300"/>
        <w:jc w:val="right"/>
      </w:pPr>
      <w:r>
        <w:rPr>
          <w:rFonts w:ascii="Arial" w:cs="Arial" w:eastAsia="Arial" w:hAnsi="Arial"/>
          <w:rtl/>
        </w:rPr>
        <w:t xml:space="preserve">تقدير الحاجة إلى خبيرٍ وتحديد تخصّصه (محاسبي/فني/تقني) من وقائع الدعوى.</w:t>
      </w:r>
    </w:p>
    <w:p>
      <w:pPr>
        <w:pStyle w:val="ListParagraph"/>
        <w:numPr>
          <w:ilvl w:val="0"/>
          <w:numId w:val="2"/>
        </w:numPr>
        <w:bidi/>
        <w:spacing w:after="60" w:line="300"/>
        <w:jc w:val="right"/>
      </w:pPr>
      <w:r>
        <w:rPr>
          <w:rFonts w:ascii="Arial" w:cs="Arial" w:eastAsia="Arial" w:hAnsi="Arial"/>
          <w:rtl/>
        </w:rPr>
        <w:t xml:space="preserve">فحص قابلية الاعتراض: مهلة الثلاثين يوماً، وقيمة الدعوى، ونوع الحكم — لتوجيه المسار إلى استئنافٍ أو التماس.</w:t>
      </w:r>
    </w:p>
    <w:p>
      <w:pPr>
        <w:pStyle w:val="ListParagraph"/>
        <w:numPr>
          <w:ilvl w:val="0"/>
          <w:numId w:val="2"/>
        </w:numPr>
        <w:bidi/>
        <w:spacing w:after="60" w:line="300"/>
        <w:jc w:val="right"/>
      </w:pPr>
      <w:r>
        <w:rPr>
          <w:rFonts w:ascii="Arial" w:cs="Arial" w:eastAsia="Arial" w:hAnsi="Arial"/>
          <w:rtl/>
        </w:rPr>
        <w:t xml:space="preserve">التحقّق من أن سبب التماس إعادة النظر من الأسباب السبعة الحصرية للمادة 200.</w:t>
      </w:r>
    </w:p>
    <w:p>
      <w:pPr>
        <w:pStyle w:val="Heading1"/>
        <w:bidi/>
        <w:jc w:val="right"/>
      </w:pPr>
      <w:r>
        <w:rPr>
          <w:rFonts w:ascii="Arial" w:cs="Arial" w:eastAsia="Arial" w:hAnsi="Arial"/>
          <w:b/>
          <w:bCs/>
          <w:rtl/>
        </w:rPr>
        <w:t xml:space="preserve">7. قواعد المعرفة والإسناد وبوابة الاستشهاد</w:t>
      </w:r>
    </w:p>
    <w:p>
      <w:pPr>
        <w:bidi/>
        <w:spacing w:after="120" w:line="312"/>
        <w:jc w:val="right"/>
      </w:pPr>
      <w:r>
        <w:rPr>
          <w:rFonts w:ascii="Arial" w:cs="Arial" w:eastAsia="Arial" w:hAnsi="Arial"/>
          <w:rtl/>
        </w:rPr>
        <w:t xml:space="preserve">يستند المحتوى إلى أربع قواعد معرفةٍ متجهية (Vector Stores) عبر أداة file_search، إضافةً إلى بحثٍ في الويب مقيّدٍ بنطاقاتٍ رسميةٍ سعودية: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2E6" w:sz="4"/>
              <w:left w:val="single" w:color="C9D2E6" w:sz="4"/>
              <w:bottom w:val="single" w:color="C9D2E6" w:sz="4"/>
              <w:right w:val="single" w:color="C9D2E6" w:sz="4"/>
            </w:tcBorders>
            <w:shd w:fill="DDE3F7" w:val="clear"/>
            <w:tcMar>
              <w:top w:type="dxa" w:w="66"/>
              <w:left w:type="dxa" w:w="110"/>
              <w:bottom w:type="dxa" w:w="66"/>
              <w:right w:type="dxa" w:w="110"/>
            </w:tcMar>
            <w:vAlign w:val="center"/>
          </w:tcPr>
          <w:p>
            <w:pPr>
              <w:bidi/>
              <w:spacing w:after="0" w:line="286"/>
              <w:jc w:val="right"/>
            </w:pPr>
            <w:r>
              <w:rPr>
                <w:rFonts w:ascii="Arial" w:cs="Arial" w:eastAsia="Arial" w:hAnsi="Arial"/>
                <w:b/>
                <w:bCs/>
                <w:color w:val="1B2440"/>
                <w:rtl/>
              </w:rPr>
              <w:t xml:space="preserve">قاعدة المعرفة / الأداة</w:t>
            </w:r>
          </w:p>
        </w:tc>
        <w:tc>
          <w:tcPr>
            <w:tcW w:type="dxa" w:w="6026"/>
            <w:tcBorders>
              <w:top w:val="single" w:color="C9D2E6" w:sz="4"/>
              <w:left w:val="single" w:color="C9D2E6" w:sz="4"/>
              <w:bottom w:val="single" w:color="C9D2E6" w:sz="4"/>
              <w:right w:val="single" w:color="C9D2E6" w:sz="4"/>
            </w:tcBorders>
            <w:shd w:fill="DDE3F7" w:val="clear"/>
            <w:tcMar>
              <w:top w:type="dxa" w:w="66"/>
              <w:left w:type="dxa" w:w="110"/>
              <w:bottom w:type="dxa" w:w="66"/>
              <w:right w:type="dxa" w:w="110"/>
            </w:tcMar>
            <w:vAlign w:val="center"/>
          </w:tcPr>
          <w:p>
            <w:pPr>
              <w:bidi/>
              <w:spacing w:after="0" w:line="286"/>
              <w:jc w:val="right"/>
            </w:pPr>
            <w:r>
              <w:rPr>
                <w:rFonts w:ascii="Arial" w:cs="Arial" w:eastAsia="Arial" w:hAnsi="Arial"/>
                <w:b/>
                <w:bCs/>
                <w:color w:val="1B2440"/>
                <w:rtl/>
              </w:rPr>
              <w:t xml:space="preserve">المحتوى</w:t>
            </w:r>
          </w:p>
        </w:tc>
      </w:tr>
      <w:tr>
        <w:tc>
          <w:tcPr>
            <w:tcW w:type="dxa" w:w="30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search_saudi_codes</w:t>
            </w:r>
          </w:p>
        </w:tc>
        <w:tc>
          <w:tcPr>
            <w:tcW w:type="dxa" w:w="602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الأنظمة والتشريعات السعودية الشاملة.</w:t>
            </w:r>
          </w:p>
        </w:tc>
      </w:tr>
      <w:tr>
        <w:tc>
          <w:tcPr>
            <w:tcW w:type="dxa" w:w="30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search_saudi_consultations</w:t>
            </w:r>
          </w:p>
        </w:tc>
        <w:tc>
          <w:tcPr>
            <w:tcW w:type="dxa" w:w="6026"/>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الاستشارات القانونية النموذجية.</w:t>
            </w:r>
          </w:p>
        </w:tc>
      </w:tr>
      <w:tr>
        <w:tc>
          <w:tcPr>
            <w:tcW w:type="dxa" w:w="30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search_commercial_precedents</w:t>
            </w:r>
          </w:p>
        </w:tc>
        <w:tc>
          <w:tcPr>
            <w:tcW w:type="dxa" w:w="602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السوابق القضائية التجارية.</w:t>
            </w:r>
          </w:p>
        </w:tc>
      </w:tr>
      <w:tr>
        <w:tc>
          <w:tcPr>
            <w:tcW w:type="dxa" w:w="30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search_contracts_templates</w:t>
            </w:r>
          </w:p>
        </w:tc>
        <w:tc>
          <w:tcPr>
            <w:tcW w:type="dxa" w:w="6026"/>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نماذج العقود.</w:t>
            </w:r>
          </w:p>
        </w:tc>
      </w:tr>
      <w:tr>
        <w:tc>
          <w:tcPr>
            <w:tcW w:type="dxa" w:w="30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web_search (مقيّد)</w:t>
            </w:r>
          </w:p>
        </w:tc>
        <w:tc>
          <w:tcPr>
            <w:tcW w:type="dxa" w:w="602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نطاقات رسمية: هيئة الخبراء، وزارة العدل، أم القرى، المركز الوطني للوثائق، منصة قانون، الخدمات الحكومية.</w:t>
            </w:r>
          </w:p>
        </w:tc>
      </w:tr>
    </w:tbl>
    <w:p>
      <w:pPr>
        <w:bidi/>
        <w:spacing w:after="120" w:line="312"/>
        <w:jc w:val="right"/>
      </w:pPr>
      <w:r>
        <w:rPr>
          <w:rFonts w:ascii="Arial" w:cs="Arial" w:eastAsia="Arial" w:hAnsi="Arial"/>
          <w:b/>
          <w:bCs/>
          <w:rtl/>
        </w:rPr>
        <w:t xml:space="preserve">بوابة الاستشهاد: </w:t>
      </w:r>
      <w:r>
        <w:rPr>
          <w:rFonts w:ascii="Arial" w:cs="Arial" w:eastAsia="Arial" w:hAnsi="Arial"/>
          <w:rtl/>
        </w:rPr>
        <w:t xml:space="preserve">تتصدّى لأخطر مشكلةٍ موثّقة بحثياً (الهلوسة القانونية). فكلّ قولٍ مُلزِم — خصوصاً الأسباب والمنطوق — يجب أن يُسنَد إلى مصدرٍ مُسترجَعٍ فعلاً؛ وما لا يُسنَد يُرفَع كعَلَمِ تحذير. وقد ثبت عملياً في التشغيل الحقيقي أن القاضي‑الوكيل يسترجع موادَّ نظاميةً فعلية (مثل مواد نظام المحاكم التجارية ونظام الإثبات) ويبني تسبيبه عليها.</w:t>
      </w:r>
    </w:p>
    <w:p>
      <w:pPr>
        <w:pStyle w:val="Heading1"/>
        <w:bidi/>
        <w:jc w:val="right"/>
      </w:pPr>
      <w:r>
        <w:rPr>
          <w:rFonts w:ascii="Arial" w:cs="Arial" w:eastAsia="Arial" w:hAnsi="Arial"/>
          <w:b/>
          <w:bCs/>
          <w:rtl/>
        </w:rPr>
        <w:t xml:space="preserve">8. آلية التفاعل وسير المحاكمة</w:t>
      </w:r>
    </w:p>
    <w:p>
      <w:pPr>
        <w:pStyle w:val="Heading2"/>
        <w:bidi/>
        <w:jc w:val="right"/>
      </w:pPr>
      <w:r>
        <w:rPr>
          <w:rFonts w:ascii="Arial" w:cs="Arial" w:eastAsia="Arial" w:hAnsi="Arial"/>
          <w:b/>
          <w:bCs/>
          <w:rtl/>
        </w:rPr>
        <w:t xml:space="preserve">المرحلة الأولى — المحكمة الابتدائية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D2E6" w:sz="4"/>
              <w:left w:val="single" w:color="C9D2E6" w:sz="4"/>
              <w:bottom w:val="single" w:color="C9D2E6" w:sz="4"/>
              <w:right w:val="single" w:color="C9D2E6" w:sz="4"/>
            </w:tcBorders>
            <w:shd w:fill="DDE3F7" w:val="clear"/>
            <w:tcMar>
              <w:top w:type="dxa" w:w="66"/>
              <w:left w:type="dxa" w:w="110"/>
              <w:bottom w:type="dxa" w:w="66"/>
              <w:right w:type="dxa" w:w="110"/>
            </w:tcMar>
            <w:vAlign w:val="center"/>
          </w:tcPr>
          <w:p>
            <w:pPr>
              <w:bidi/>
              <w:spacing w:after="0" w:line="286"/>
              <w:jc w:val="right"/>
            </w:pPr>
            <w:r>
              <w:rPr>
                <w:rFonts w:ascii="Arial" w:cs="Arial" w:eastAsia="Arial" w:hAnsi="Arial"/>
                <w:b/>
                <w:bCs/>
                <w:color w:val="1B2440"/>
                <w:rtl/>
              </w:rPr>
              <w:t xml:space="preserve">الخطوة</w:t>
            </w:r>
          </w:p>
        </w:tc>
        <w:tc>
          <w:tcPr>
            <w:tcW w:type="dxa" w:w="6726"/>
            <w:tcBorders>
              <w:top w:val="single" w:color="C9D2E6" w:sz="4"/>
              <w:left w:val="single" w:color="C9D2E6" w:sz="4"/>
              <w:bottom w:val="single" w:color="C9D2E6" w:sz="4"/>
              <w:right w:val="single" w:color="C9D2E6" w:sz="4"/>
            </w:tcBorders>
            <w:shd w:fill="DDE3F7" w:val="clear"/>
            <w:tcMar>
              <w:top w:type="dxa" w:w="66"/>
              <w:left w:type="dxa" w:w="110"/>
              <w:bottom w:type="dxa" w:w="66"/>
              <w:right w:type="dxa" w:w="110"/>
            </w:tcMar>
            <w:vAlign w:val="center"/>
          </w:tcPr>
          <w:p>
            <w:pPr>
              <w:bidi/>
              <w:spacing w:after="0" w:line="286"/>
              <w:jc w:val="right"/>
            </w:pPr>
            <w:r>
              <w:rPr>
                <w:rFonts w:ascii="Arial" w:cs="Arial" w:eastAsia="Arial" w:hAnsi="Arial"/>
                <w:b/>
                <w:bCs/>
                <w:color w:val="1B2440"/>
                <w:rtl/>
              </w:rPr>
              <w:t xml:space="preserve">ما يجري</w:t>
            </w:r>
          </w:p>
        </w:tc>
      </w:tr>
      <w:tr>
        <w:tc>
          <w:tcPr>
            <w:tcW w:type="dxa" w:w="23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قيد الدعوى</w:t>
            </w:r>
          </w:p>
        </w:tc>
        <w:tc>
          <w:tcPr>
            <w:tcW w:type="dxa" w:w="672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يقدّم المحامي صحيفة الدعوى، فيدقّقها المُسجِّل شكلاً وموضوعاً.</w:t>
            </w:r>
          </w:p>
        </w:tc>
      </w:tr>
      <w:tr>
        <w:tc>
          <w:tcPr>
            <w:tcW w:type="dxa" w:w="23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إشعار وجواب</w:t>
            </w:r>
          </w:p>
        </w:tc>
        <w:tc>
          <w:tcPr>
            <w:tcW w:type="dxa" w:w="6726"/>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يُشعَر المدعى عليه، ويقدّم وكيلُه المذكرة الجوابية الأولى بدفوعها.</w:t>
            </w:r>
          </w:p>
        </w:tc>
      </w:tr>
      <w:tr>
        <w:tc>
          <w:tcPr>
            <w:tcW w:type="dxa" w:w="23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حلقة المرافعة</w:t>
            </w:r>
          </w:p>
        </w:tc>
        <w:tc>
          <w:tcPr>
            <w:tcW w:type="dxa" w:w="672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تبادلٌ متناوبٌ للمذكرات (ردّ المدعي ← جواب المدعى عليه) يديره القاضي حتى التشبّع.</w:t>
            </w:r>
          </w:p>
        </w:tc>
      </w:tr>
      <w:tr>
        <w:tc>
          <w:tcPr>
            <w:tcW w:type="dxa" w:w="23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ندب خبير</w:t>
            </w:r>
          </w:p>
        </w:tc>
        <w:tc>
          <w:tcPr>
            <w:tcW w:type="dxa" w:w="6726"/>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إن اقتضت الوقائع، يُولَّد وكيل خبيرٍ متخصّصٌ يقدّم تقريره ضمن الملف.</w:t>
            </w:r>
          </w:p>
        </w:tc>
      </w:tr>
      <w:tr>
        <w:tc>
          <w:tcPr>
            <w:tcW w:type="dxa" w:w="23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حجز للحكم</w:t>
            </w:r>
          </w:p>
        </w:tc>
        <w:tc>
          <w:tcPr>
            <w:tcW w:type="dxa" w:w="672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يقفل القاضي باب المرافعة ويرفع الدعوى للتأمل.</w:t>
            </w:r>
          </w:p>
        </w:tc>
      </w:tr>
      <w:tr>
        <w:tc>
          <w:tcPr>
            <w:tcW w:type="dxa" w:w="23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النطق بالحكم</w:t>
            </w:r>
          </w:p>
        </w:tc>
        <w:tc>
          <w:tcPr>
            <w:tcW w:type="dxa" w:w="6726"/>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يصوغ القاضي صكّ الحكم (الوقائع، الأسباب، المنطوق)، ثم تُحدَّد قابلية الاعتراض.</w:t>
            </w:r>
          </w:p>
        </w:tc>
      </w:tr>
    </w:tbl>
    <w:p>
      <w:pPr>
        <w:pStyle w:val="Heading2"/>
        <w:bidi/>
        <w:jc w:val="right"/>
      </w:pPr>
      <w:r>
        <w:rPr>
          <w:rFonts w:ascii="Arial" w:cs="Arial" w:eastAsia="Arial" w:hAnsi="Arial"/>
          <w:b/>
          <w:bCs/>
          <w:rtl/>
        </w:rPr>
        <w:t xml:space="preserve">المرحلة الثانية — الاعتراض</w:t>
      </w:r>
    </w:p>
    <w:p>
      <w:pPr>
        <w:pStyle w:val="ListParagraph"/>
        <w:numPr>
          <w:ilvl w:val="0"/>
          <w:numId w:val="2"/>
        </w:numPr>
        <w:bidi/>
        <w:spacing w:after="60" w:line="300"/>
        <w:jc w:val="right"/>
      </w:pPr>
      <w:r>
        <w:rPr>
          <w:rFonts w:ascii="Arial" w:cs="Arial" w:eastAsia="Arial" w:hAnsi="Arial"/>
          <w:b/>
          <w:bCs/>
          <w:rtl/>
        </w:rPr>
        <w:t xml:space="preserve">الاستئناف: </w:t>
      </w:r>
      <w:r>
        <w:rPr>
          <w:rFonts w:ascii="Arial" w:cs="Arial" w:eastAsia="Arial" w:hAnsi="Arial"/>
          <w:rtl/>
        </w:rPr>
        <w:t xml:space="preserve">عند قابلية الحكم؛ يقدّم المستأنف لائحته، ويردّ المستأنف ضدّه، ثم تتولّى دائرةٌ ثلاثيةٌ المداولةَ والنطقَ بالحكم القطعي.</w:t>
      </w:r>
    </w:p>
    <w:p>
      <w:pPr>
        <w:pStyle w:val="ListParagraph"/>
        <w:numPr>
          <w:ilvl w:val="0"/>
          <w:numId w:val="2"/>
        </w:numPr>
        <w:bidi/>
        <w:spacing w:after="60" w:line="300"/>
        <w:jc w:val="right"/>
      </w:pPr>
      <w:r>
        <w:rPr>
          <w:rFonts w:ascii="Arial" w:cs="Arial" w:eastAsia="Arial" w:hAnsi="Arial"/>
          <w:b/>
          <w:bCs/>
          <w:rtl/>
        </w:rPr>
        <w:t xml:space="preserve">التماس إعادة النظر (المادة 200): </w:t>
      </w:r>
      <w:r>
        <w:rPr>
          <w:rFonts w:ascii="Arial" w:cs="Arial" w:eastAsia="Arial" w:hAnsi="Arial"/>
          <w:rtl/>
        </w:rPr>
        <w:t xml:space="preserve">للأحكام النهائية؛ ويُقبَل حصراً إذا كان سببه من الأسباب السبعة الحصرية (كالتزوير، أو الحكم بما لم يُطلب، أو تناقض المنطوق).</w:t>
      </w:r>
    </w:p>
    <w:p>
      <w:pPr>
        <w:pStyle w:val="ListParagraph"/>
        <w:numPr>
          <w:ilvl w:val="0"/>
          <w:numId w:val="2"/>
        </w:numPr>
        <w:bidi/>
        <w:spacing w:after="60" w:line="300"/>
        <w:jc w:val="right"/>
      </w:pPr>
      <w:r>
        <w:rPr>
          <w:rFonts w:ascii="Arial" w:cs="Arial" w:eastAsia="Arial" w:hAnsi="Arial"/>
          <w:b/>
          <w:bCs/>
          <w:rtl/>
        </w:rPr>
        <w:t xml:space="preserve">وضع التدريب (اختياري): </w:t>
      </w:r>
      <w:r>
        <w:rPr>
          <w:rFonts w:ascii="Arial" w:cs="Arial" w:eastAsia="Arial" w:hAnsi="Arial"/>
          <w:rtl/>
        </w:rPr>
        <w:t xml:space="preserve">يحقن النظام ثغرةً إجرائيةً خفية في المرحلة الابتدائية (مستوحىً من إطار LegalSim)، وعلى المحامي اكتشافها ورفع الالتماس بالسبب الصحيح — فيقيس النظام مدى يقظته.</w:t>
      </w:r>
    </w:p>
    <w:p>
      <w:pPr>
        <w:pStyle w:val="Heading1"/>
        <w:bidi/>
        <w:jc w:val="right"/>
      </w:pPr>
      <w:r>
        <w:rPr>
          <w:rFonts w:ascii="Arial" w:cs="Arial" w:eastAsia="Arial" w:hAnsi="Arial"/>
          <w:b/>
          <w:bCs/>
          <w:rtl/>
        </w:rPr>
        <w:t xml:space="preserve">9. الواجهة التفاعلية</w:t>
      </w:r>
    </w:p>
    <w:p>
      <w:pPr>
        <w:bidi/>
        <w:spacing w:after="120" w:line="312"/>
        <w:jc w:val="right"/>
      </w:pPr>
      <w:r>
        <w:rPr>
          <w:rFonts w:ascii="Arial" w:cs="Arial" w:eastAsia="Arial" w:hAnsi="Arial"/>
          <w:rtl/>
        </w:rPr>
        <w:t xml:space="preserve">تُعرَض المحاكمة في لوحةِ عقدٍ تفاعلية (canvas) شبيهةٍ بأدوات التخطيط، بخلفيةٍ فاتحةٍ وتصميمٍ مسطّحٍ عصري. تُرسَم كلُّ مرحلةٍ عقدةً تتّصل بالتالية بحوافَّ منحنية، وتُبثّ خطواتُ النظام لحظةً بلحظة (عبر تقنية SSE) من المحرّك نفسه:</w:t>
      </w:r>
    </w:p>
    <w:p>
      <w:pPr>
        <w:pStyle w:val="ListParagraph"/>
        <w:numPr>
          <w:ilvl w:val="0"/>
          <w:numId w:val="2"/>
        </w:numPr>
        <w:bidi/>
        <w:spacing w:after="60" w:line="300"/>
        <w:jc w:val="right"/>
      </w:pPr>
      <w:r>
        <w:rPr>
          <w:rFonts w:ascii="Arial" w:cs="Arial" w:eastAsia="Arial" w:hAnsi="Arial"/>
          <w:rtl/>
        </w:rPr>
        <w:t xml:space="preserve">تنقّلٌ حرّ بالسحب، وتكبير/تصغير بعجلة الفأرة، وسحبٌ حرٌّ للعقد لإعادة ترتيبها.</w:t>
      </w:r>
    </w:p>
    <w:p>
      <w:pPr>
        <w:pStyle w:val="ListParagraph"/>
        <w:numPr>
          <w:ilvl w:val="0"/>
          <w:numId w:val="2"/>
        </w:numPr>
        <w:bidi/>
        <w:spacing w:after="60" w:line="300"/>
        <w:jc w:val="right"/>
      </w:pPr>
      <w:r>
        <w:rPr>
          <w:rFonts w:ascii="Arial" w:cs="Arial" w:eastAsia="Arial" w:hAnsi="Arial"/>
          <w:rtl/>
        </w:rPr>
        <w:t xml:space="preserve">نقرُ أيّ عقدةٍ يفتح لوحةً جانبيةً تكشف منهجية الوكيل، ونصّ رده الكامل، وإسناداته، والنموذج المستخدم.</w:t>
      </w:r>
    </w:p>
    <w:p>
      <w:pPr>
        <w:pStyle w:val="ListParagraph"/>
        <w:numPr>
          <w:ilvl w:val="0"/>
          <w:numId w:val="2"/>
        </w:numPr>
        <w:bidi/>
        <w:spacing w:after="60" w:line="300"/>
        <w:jc w:val="right"/>
      </w:pPr>
      <w:r>
        <w:rPr>
          <w:rFonts w:ascii="Arial" w:cs="Arial" w:eastAsia="Arial" w:hAnsi="Arial"/>
          <w:rtl/>
        </w:rPr>
        <w:t xml:space="preserve">ميكروأنيميشنز هادئة: رسمٌ متحرّكٌ للحوافّ، وحلقةُ توهّجٍ للعقدة النشطة، ودخولٌ ناعمٌ للوحة التفاصيل.</w:t>
      </w:r>
    </w:p>
    <w:p>
      <w:pPr>
        <w:pStyle w:val="Heading1"/>
        <w:bidi/>
        <w:jc w:val="right"/>
      </w:pPr>
      <w:r>
        <w:rPr>
          <w:rFonts w:ascii="Arial" w:cs="Arial" w:eastAsia="Arial" w:hAnsi="Arial"/>
          <w:b/>
          <w:bCs/>
          <w:rtl/>
        </w:rPr>
        <w:t xml:space="preserve">10. التقييم والأمان وإخلاء المسؤولية</w:t>
      </w:r>
    </w:p>
    <w:p>
      <w:pPr>
        <w:pStyle w:val="ListParagraph"/>
        <w:numPr>
          <w:ilvl w:val="0"/>
          <w:numId w:val="2"/>
        </w:numPr>
        <w:bidi/>
        <w:spacing w:after="60" w:line="300"/>
        <w:jc w:val="right"/>
      </w:pPr>
      <w:r>
        <w:rPr>
          <w:rFonts w:ascii="Arial" w:cs="Arial" w:eastAsia="Arial" w:hAnsi="Arial"/>
          <w:b/>
          <w:bCs/>
          <w:rtl/>
        </w:rPr>
        <w:t xml:space="preserve">مقاومة هلوسة القانون: </w:t>
      </w:r>
      <w:r>
        <w:rPr>
          <w:rFonts w:ascii="Arial" w:cs="Arial" w:eastAsia="Arial" w:hAnsi="Arial"/>
          <w:rtl/>
        </w:rPr>
        <w:t xml:space="preserve">بوابة استشهادٍ إلزامية + استرجاعٌ فعليٌّ من قواعد المعرفة.</w:t>
      </w:r>
    </w:p>
    <w:p>
      <w:pPr>
        <w:pStyle w:val="ListParagraph"/>
        <w:numPr>
          <w:ilvl w:val="0"/>
          <w:numId w:val="2"/>
        </w:numPr>
        <w:bidi/>
        <w:spacing w:after="60" w:line="300"/>
        <w:jc w:val="right"/>
      </w:pPr>
      <w:r>
        <w:rPr>
          <w:rFonts w:ascii="Arial" w:cs="Arial" w:eastAsia="Arial" w:hAnsi="Arial"/>
          <w:b/>
          <w:bCs/>
          <w:rtl/>
        </w:rPr>
        <w:t xml:space="preserve">مقاومة التحيّز في الدائرة: </w:t>
      </w:r>
      <w:r>
        <w:rPr>
          <w:rFonts w:ascii="Arial" w:cs="Arial" w:eastAsia="Arial" w:hAnsi="Arial"/>
          <w:rtl/>
        </w:rPr>
        <w:t xml:space="preserve">نماذج/عدساتٌ متنوّعة، وجولةُ تصويتٍ عمياء قبل المداولة، وتعشيةُ ترتيب الأطراف — استناداً لأبحاث تحيّز الموضع والمجاملة.</w:t>
      </w:r>
    </w:p>
    <w:p>
      <w:pPr>
        <w:pStyle w:val="ListParagraph"/>
        <w:numPr>
          <w:ilvl w:val="0"/>
          <w:numId w:val="2"/>
        </w:numPr>
        <w:bidi/>
        <w:spacing w:after="60" w:line="300"/>
        <w:jc w:val="right"/>
      </w:pPr>
      <w:r>
        <w:rPr>
          <w:rFonts w:ascii="Arial" w:cs="Arial" w:eastAsia="Arial" w:hAnsi="Arial"/>
          <w:b/>
          <w:bCs/>
          <w:rtl/>
        </w:rPr>
        <w:t xml:space="preserve">سجلّ تدقيق: </w:t>
      </w:r>
      <w:r>
        <w:rPr>
          <w:rFonts w:ascii="Arial" w:cs="Arial" w:eastAsia="Arial" w:hAnsi="Arial"/>
          <w:rtl/>
        </w:rPr>
        <w:t xml:space="preserve">كل خطوةٍ تُسجَّل (الفاعل، الإجراء، النموذج، المصادر) لإعادة التتبّع والمساءلة.</w:t>
      </w:r>
    </w:p>
    <w:p>
      <w:pPr>
        <w:pStyle w:val="ListParagraph"/>
        <w:numPr>
          <w:ilvl w:val="0"/>
          <w:numId w:val="2"/>
        </w:numPr>
        <w:bidi/>
        <w:spacing w:after="60" w:line="300"/>
        <w:jc w:val="right"/>
      </w:pPr>
      <w:r>
        <w:rPr>
          <w:rFonts w:ascii="Arial" w:cs="Arial" w:eastAsia="Arial" w:hAnsi="Arial"/>
          <w:b/>
          <w:bCs/>
          <w:rtl/>
        </w:rPr>
        <w:t xml:space="preserve">التقييم: </w:t>
      </w:r>
      <w:r>
        <w:rPr>
          <w:rFonts w:ascii="Arial" w:cs="Arial" w:eastAsia="Arial" w:hAnsi="Arial"/>
          <w:rtl/>
        </w:rPr>
        <w:t xml:space="preserve">مِقياسٌ مستوحىً من معيار ALARB لقياس اتساق أحكام القاضي‑الوكيل.</w:t>
      </w:r>
    </w:p>
    <w:p>
      <w:pPr>
        <w:pStyle w:val="ListParagraph"/>
        <w:numPr>
          <w:ilvl w:val="0"/>
          <w:numId w:val="2"/>
        </w:numPr>
        <w:bidi/>
        <w:spacing w:after="60" w:line="300"/>
        <w:jc w:val="right"/>
      </w:pPr>
      <w:r>
        <w:rPr>
          <w:rFonts w:ascii="Arial" w:cs="Arial" w:eastAsia="Arial" w:hAnsi="Arial"/>
          <w:b/>
          <w:bCs/>
          <w:rtl/>
        </w:rPr>
        <w:t xml:space="preserve">إخلاء المسؤولية: </w:t>
      </w:r>
      <w:r>
        <w:rPr>
          <w:rFonts w:ascii="Arial" w:cs="Arial" w:eastAsia="Arial" w:hAnsi="Arial"/>
          <w:rtl/>
        </w:rPr>
        <w:t xml:space="preserve">مخرجات النظام محاكاةٌ تدريبية لا تُغني عن المحامي ولا تُعدّ حكماً أو استشارة.</w:t>
      </w:r>
    </w:p>
    <w:p>
      <w:pPr>
        <w:pStyle w:val="Heading1"/>
        <w:bidi/>
        <w:jc w:val="right"/>
      </w:pPr>
      <w:r>
        <w:rPr>
          <w:rFonts w:ascii="Arial" w:cs="Arial" w:eastAsia="Arial" w:hAnsi="Arial"/>
          <w:b/>
          <w:bCs/>
          <w:rtl/>
        </w:rPr>
        <w:t xml:space="preserve">11. الأسس النظامية السعودية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2E6" w:sz="4"/>
              <w:left w:val="single" w:color="C9D2E6" w:sz="4"/>
              <w:bottom w:val="single" w:color="C9D2E6" w:sz="4"/>
              <w:right w:val="single" w:color="C9D2E6" w:sz="4"/>
            </w:tcBorders>
            <w:shd w:fill="DDE3F7" w:val="clear"/>
            <w:tcMar>
              <w:top w:type="dxa" w:w="66"/>
              <w:left w:type="dxa" w:w="110"/>
              <w:bottom w:type="dxa" w:w="66"/>
              <w:right w:type="dxa" w:w="110"/>
            </w:tcMar>
            <w:vAlign w:val="center"/>
          </w:tcPr>
          <w:p>
            <w:pPr>
              <w:bidi/>
              <w:spacing w:after="0" w:line="286"/>
              <w:jc w:val="right"/>
            </w:pPr>
            <w:r>
              <w:rPr>
                <w:rFonts w:ascii="Arial" w:cs="Arial" w:eastAsia="Arial" w:hAnsi="Arial"/>
                <w:b/>
                <w:bCs/>
                <w:color w:val="1B2440"/>
                <w:rtl/>
              </w:rPr>
              <w:t xml:space="preserve">المسألة</w:t>
            </w:r>
          </w:p>
        </w:tc>
        <w:tc>
          <w:tcPr>
            <w:tcW w:type="dxa" w:w="6426"/>
            <w:tcBorders>
              <w:top w:val="single" w:color="C9D2E6" w:sz="4"/>
              <w:left w:val="single" w:color="C9D2E6" w:sz="4"/>
              <w:bottom w:val="single" w:color="C9D2E6" w:sz="4"/>
              <w:right w:val="single" w:color="C9D2E6" w:sz="4"/>
            </w:tcBorders>
            <w:shd w:fill="DDE3F7" w:val="clear"/>
            <w:tcMar>
              <w:top w:type="dxa" w:w="66"/>
              <w:left w:type="dxa" w:w="110"/>
              <w:bottom w:type="dxa" w:w="66"/>
              <w:right w:type="dxa" w:w="110"/>
            </w:tcMar>
            <w:vAlign w:val="center"/>
          </w:tcPr>
          <w:p>
            <w:pPr>
              <w:bidi/>
              <w:spacing w:after="0" w:line="286"/>
              <w:jc w:val="right"/>
            </w:pPr>
            <w:r>
              <w:rPr>
                <w:rFonts w:ascii="Arial" w:cs="Arial" w:eastAsia="Arial" w:hAnsi="Arial"/>
                <w:b/>
                <w:bCs/>
                <w:color w:val="1B2440"/>
                <w:rtl/>
              </w:rPr>
              <w:t xml:space="preserve">الأساس النظامي (وفق نظام المرافعات الشرعية)</w:t>
            </w:r>
          </w:p>
        </w:tc>
      </w:tr>
      <w:tr>
        <w:tc>
          <w:tcPr>
            <w:tcW w:type="dxa" w:w="26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مهلة الاستئناف</w:t>
            </w:r>
          </w:p>
        </w:tc>
        <w:tc>
          <w:tcPr>
            <w:tcW w:type="dxa" w:w="642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ثلاثون يوماً من تاريخ تسليم الحكم لأطراف الدعوى.</w:t>
            </w:r>
          </w:p>
        </w:tc>
      </w:tr>
      <w:tr>
        <w:tc>
          <w:tcPr>
            <w:tcW w:type="dxa" w:w="26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التماس إعادة النظر</w:t>
            </w:r>
          </w:p>
        </w:tc>
        <w:tc>
          <w:tcPr>
            <w:tcW w:type="dxa" w:w="6426"/>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المادة 200: سبعة أسبابٍ حصرية (تزوير، أوراق قاطعة، غش، الحكم بما لم يُطلب، تناقض المنطوق، حكم غيابي، تمثيل ناقص).</w:t>
            </w:r>
          </w:p>
        </w:tc>
      </w:tr>
      <w:tr>
        <w:tc>
          <w:tcPr>
            <w:tcW w:type="dxa" w:w="26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حدّ قطعية الأحكام</w:t>
            </w:r>
          </w:p>
        </w:tc>
        <w:tc>
          <w:tcPr>
            <w:tcW w:type="dxa" w:w="642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يُضبَط كقيمة إعدادٍ ويجب تأصيله من المصدر الرسمي قبل الإنتاج (نص المادة 31 يذكر 10,000 ريال للدوائر اليسيرة؛ وحدّ الـ50,000 غير مؤكّدٍ نظامياً بعد).</w:t>
            </w:r>
          </w:p>
        </w:tc>
      </w:tr>
    </w:tbl>
    <w:p>
      <w:pPr>
        <w:bidi/>
        <w:spacing w:after="120" w:line="312"/>
        <w:jc w:val="right"/>
      </w:pPr>
      <w:r>
        <w:rPr>
          <w:rFonts w:ascii="Arial" w:cs="Arial" w:eastAsia="Arial" w:hAnsi="Arial"/>
          <w:b/>
          <w:bCs/>
          <w:color w:val="B23A5B"/>
          <w:rtl/>
        </w:rPr>
        <w:t xml:space="preserve">ملاحظة دقّة: </w:t>
      </w:r>
      <w:r>
        <w:rPr>
          <w:rFonts w:ascii="Arial" w:cs="Arial" w:eastAsia="Arial" w:hAnsi="Arial"/>
          <w:rtl/>
        </w:rPr>
        <w:t xml:space="preserve">حدّ الـ50,000 ريال لا يزال غير مؤصَّلٍ في نصّ النظام؛ ويظهر تحذيرٌ تلقائيٌّ في مخرجات النظام حتى يُؤصَّل من مصدره الرسمي.</w:t>
      </w:r>
    </w:p>
    <w:p>
      <w:pPr>
        <w:pageBreakBefore/>
      </w:pPr>
    </w:p>
    <w:p>
      <w:pPr>
        <w:pStyle w:val="Heading1"/>
        <w:bidi/>
        <w:jc w:val="right"/>
      </w:pPr>
      <w:r>
        <w:rPr>
          <w:rFonts w:ascii="Arial" w:cs="Arial" w:eastAsia="Arial" w:hAnsi="Arial"/>
          <w:b/>
          <w:bCs/>
          <w:rtl/>
        </w:rPr>
        <w:t xml:space="preserve">12. الأسس البحثية والأوراق المعتمدة</w:t>
      </w:r>
    </w:p>
    <w:p>
      <w:pPr>
        <w:bidi/>
        <w:spacing w:after="120" w:line="312"/>
        <w:jc w:val="right"/>
      </w:pPr>
      <w:r>
        <w:rPr>
          <w:rFonts w:ascii="Arial" w:cs="Arial" w:eastAsia="Arial" w:hAnsi="Arial"/>
          <w:rtl/>
        </w:rPr>
        <w:t xml:space="preserve">بُنِيت معمارية «بيّن» على أوراقٍ بحثيةٍ حقيقيةٍ جرى التحقّق منها تحقّقاً عدائياً (مطابقة العنوان والمؤلّفين والمعرّف والجهة الناشرة). وقد استُبعِد مرجعٌ ورد في مسوّدةٍ سابقة تبيّن أنه مُلفَّق («CLEAR Framework»). وفيما يلي الأوراق مصنّفةً بحسب دورها.</w:t>
      </w:r>
    </w:p>
    <w:p>
      <w:pPr>
        <w:pStyle w:val="Heading2"/>
        <w:bidi/>
        <w:jc w:val="right"/>
      </w:pPr>
      <w:r>
        <w:rPr>
          <w:rFonts w:ascii="Arial" w:cs="Arial" w:eastAsia="Arial" w:hAnsi="Arial"/>
          <w:b/>
          <w:bCs/>
          <w:rtl/>
        </w:rPr>
        <w:t xml:space="preserve">أ) محاكاة المحاكم والتقاضي بالوكلاء</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626"/>
      </w:tblGrid>
      <w:tr>
        <w:trPr>
          <w:tblHeader/>
        </w:trPr>
        <w:tc>
          <w:tcPr>
            <w:tcW w:type="dxa" w:w="2300"/>
            <w:tcBorders>
              <w:top w:val="single" w:color="C9D2E6" w:sz="4"/>
              <w:left w:val="single" w:color="C9D2E6" w:sz="4"/>
              <w:bottom w:val="single" w:color="C9D2E6" w:sz="4"/>
              <w:right w:val="single" w:color="C9D2E6" w:sz="4"/>
            </w:tcBorders>
            <w:shd w:fill="DDE3F7" w:val="clear"/>
            <w:tcMar>
              <w:top w:type="dxa" w:w="66"/>
              <w:left w:type="dxa" w:w="110"/>
              <w:bottom w:type="dxa" w:w="66"/>
              <w:right w:type="dxa" w:w="110"/>
            </w:tcMar>
            <w:vAlign w:val="center"/>
          </w:tcPr>
          <w:p>
            <w:pPr>
              <w:bidi/>
              <w:spacing w:after="0" w:line="286"/>
              <w:jc w:val="right"/>
            </w:pPr>
            <w:r>
              <w:rPr>
                <w:rFonts w:ascii="Arial" w:cs="Arial" w:eastAsia="Arial" w:hAnsi="Arial"/>
                <w:b/>
                <w:bCs/>
                <w:color w:val="1B2440"/>
                <w:rtl/>
              </w:rPr>
              <w:t xml:space="preserve">الإطار / الورقة</w:t>
            </w:r>
          </w:p>
        </w:tc>
        <w:tc>
          <w:tcPr>
            <w:tcW w:type="dxa" w:w="2100"/>
            <w:tcBorders>
              <w:top w:val="single" w:color="C9D2E6" w:sz="4"/>
              <w:left w:val="single" w:color="C9D2E6" w:sz="4"/>
              <w:bottom w:val="single" w:color="C9D2E6" w:sz="4"/>
              <w:right w:val="single" w:color="C9D2E6" w:sz="4"/>
            </w:tcBorders>
            <w:shd w:fill="DDE3F7" w:val="clear"/>
            <w:tcMar>
              <w:top w:type="dxa" w:w="66"/>
              <w:left w:type="dxa" w:w="110"/>
              <w:bottom w:type="dxa" w:w="66"/>
              <w:right w:type="dxa" w:w="110"/>
            </w:tcMar>
            <w:vAlign w:val="center"/>
          </w:tcPr>
          <w:p>
            <w:pPr>
              <w:bidi/>
              <w:spacing w:after="0" w:line="286"/>
              <w:jc w:val="right"/>
            </w:pPr>
            <w:r>
              <w:rPr>
                <w:rFonts w:ascii="Arial" w:cs="Arial" w:eastAsia="Arial" w:hAnsi="Arial"/>
                <w:b/>
                <w:bCs/>
                <w:color w:val="1B2440"/>
                <w:rtl/>
              </w:rPr>
              <w:t xml:space="preserve">المعرّف</w:t>
            </w:r>
          </w:p>
        </w:tc>
        <w:tc>
          <w:tcPr>
            <w:tcW w:type="dxa" w:w="4626"/>
            <w:tcBorders>
              <w:top w:val="single" w:color="C9D2E6" w:sz="4"/>
              <w:left w:val="single" w:color="C9D2E6" w:sz="4"/>
              <w:bottom w:val="single" w:color="C9D2E6" w:sz="4"/>
              <w:right w:val="single" w:color="C9D2E6" w:sz="4"/>
            </w:tcBorders>
            <w:shd w:fill="DDE3F7" w:val="clear"/>
            <w:tcMar>
              <w:top w:type="dxa" w:w="66"/>
              <w:left w:type="dxa" w:w="110"/>
              <w:bottom w:type="dxa" w:w="66"/>
              <w:right w:type="dxa" w:w="110"/>
            </w:tcMar>
            <w:vAlign w:val="center"/>
          </w:tcPr>
          <w:p>
            <w:pPr>
              <w:bidi/>
              <w:spacing w:after="0" w:line="286"/>
              <w:jc w:val="right"/>
            </w:pPr>
            <w:r>
              <w:rPr>
                <w:rFonts w:ascii="Arial" w:cs="Arial" w:eastAsia="Arial" w:hAnsi="Arial"/>
                <w:b/>
                <w:bCs/>
                <w:color w:val="1B2440"/>
                <w:rtl/>
              </w:rPr>
              <w:t xml:space="preserve">الدور في «بيّن»</w:t>
            </w:r>
          </w:p>
        </w:tc>
      </w:tr>
      <w:tr>
        <w:tc>
          <w:tcPr>
            <w:tcW w:type="dxa" w:w="23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AgentsCourt / SimuCourt</w:t>
            </w:r>
          </w:p>
        </w:tc>
        <w:tc>
          <w:tcPr>
            <w:tcW w:type="dxa" w:w="21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arXiv:2403.02959</w:t>
            </w:r>
          </w:p>
        </w:tc>
        <w:tc>
          <w:tcPr>
            <w:tcW w:type="dxa" w:w="462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ألهم بنية تعدّد الوكلاء وقاعدة المعرفة، وبنشمارك المحاكاة (EMNLP 2024).</w:t>
            </w:r>
          </w:p>
        </w:tc>
      </w:tr>
      <w:tr>
        <w:tc>
          <w:tcPr>
            <w:tcW w:type="dxa" w:w="23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AgentCourt (AdvEvol)</w:t>
            </w:r>
          </w:p>
        </w:tc>
        <w:tc>
          <w:tcPr>
            <w:tcW w:type="dxa" w:w="21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arXiv:2408.08089</w:t>
            </w:r>
          </w:p>
        </w:tc>
        <w:tc>
          <w:tcPr>
            <w:tcW w:type="dxa" w:w="4626"/>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أساس وكيل الخصم الاستراتيجي المتطوّر تنافسياً (ACL 2025).</w:t>
            </w:r>
          </w:p>
        </w:tc>
      </w:tr>
      <w:tr>
        <w:tc>
          <w:tcPr>
            <w:tcW w:type="dxa" w:w="23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SimCourt</w:t>
            </w:r>
          </w:p>
        </w:tc>
        <w:tc>
          <w:tcPr>
            <w:tcW w:type="dxa" w:w="21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arXiv:2508.17322</w:t>
            </w:r>
          </w:p>
        </w:tc>
        <w:tc>
          <w:tcPr>
            <w:tcW w:type="dxa" w:w="462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نموذج اتّباع المراحل الإجرائية بدقّةٍ عبر أدوارٍ متعدّدة.</w:t>
            </w:r>
          </w:p>
        </w:tc>
      </w:tr>
      <w:tr>
        <w:tc>
          <w:tcPr>
            <w:tcW w:type="dxa" w:w="23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Agents on the Bench</w:t>
            </w:r>
          </w:p>
        </w:tc>
        <w:tc>
          <w:tcPr>
            <w:tcW w:type="dxa" w:w="21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arXiv:2412.18697</w:t>
            </w:r>
          </w:p>
        </w:tc>
        <w:tc>
          <w:tcPr>
            <w:tcW w:type="dxa" w:w="4626"/>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ألهم تشكيل دائرةٍ قضائيةٍ جماعيةٍ للمداولة.</w:t>
            </w:r>
          </w:p>
        </w:tc>
      </w:tr>
      <w:tr>
        <w:tc>
          <w:tcPr>
            <w:tcW w:type="dxa" w:w="23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MASER / MILE</w:t>
            </w:r>
          </w:p>
        </w:tc>
        <w:tc>
          <w:tcPr>
            <w:tcW w:type="dxa" w:w="21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arXiv:2502.06882</w:t>
            </w:r>
          </w:p>
        </w:tc>
        <w:tc>
          <w:tcPr>
            <w:tcW w:type="dxa" w:w="462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محاكاةٌ تفاعليةٌ وتوليدُ بياناتٍ وتقييم (NAACL 2025).</w:t>
            </w:r>
          </w:p>
        </w:tc>
      </w:tr>
      <w:tr>
        <w:tc>
          <w:tcPr>
            <w:tcW w:type="dxa" w:w="23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12 Angry AI Agents</w:t>
            </w:r>
          </w:p>
        </w:tc>
        <w:tc>
          <w:tcPr>
            <w:tcW w:type="dxa" w:w="21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arXiv:2605.01986</w:t>
            </w:r>
          </w:p>
        </w:tc>
        <w:tc>
          <w:tcPr>
            <w:tcW w:type="dxa" w:w="4626"/>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قياس ديناميكيات المداولة الجماعية وحدودها.</w:t>
            </w:r>
          </w:p>
        </w:tc>
      </w:tr>
      <w:tr>
        <w:tc>
          <w:tcPr>
            <w:tcW w:type="dxa" w:w="23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AgenticSimLaw</w:t>
            </w:r>
          </w:p>
        </w:tc>
        <w:tc>
          <w:tcPr>
            <w:tcW w:type="dxa" w:w="21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arXiv:2601.21936</w:t>
            </w:r>
          </w:p>
        </w:tc>
        <w:tc>
          <w:tcPr>
            <w:tcW w:type="dxa" w:w="462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مناظرةٌ تفسيريةٌ متعددة الوكلاء للقرارات.</w:t>
            </w:r>
          </w:p>
        </w:tc>
      </w:tr>
      <w:tr>
        <w:tc>
          <w:tcPr>
            <w:tcW w:type="dxa" w:w="23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JurisMMA</w:t>
            </w:r>
          </w:p>
        </w:tc>
        <w:tc>
          <w:tcPr>
            <w:tcW w:type="dxa" w:w="21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arXiv:2601.12815</w:t>
            </w:r>
          </w:p>
        </w:tc>
        <w:tc>
          <w:tcPr>
            <w:tcW w:type="dxa" w:w="4626"/>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تقسيم المحاكمة إلى أدوار وكلاءَ متعاقبة.</w:t>
            </w:r>
          </w:p>
        </w:tc>
      </w:tr>
      <w:tr>
        <w:tc>
          <w:tcPr>
            <w:tcW w:type="dxa" w:w="23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LegalSim</w:t>
            </w:r>
          </w:p>
        </w:tc>
        <w:tc>
          <w:tcPr>
            <w:tcW w:type="dxa" w:w="21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arXiv:2510.03405</w:t>
            </w:r>
          </w:p>
        </w:tc>
        <w:tc>
          <w:tcPr>
            <w:tcW w:type="dxa" w:w="462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أساس «وضع التدريب» على حقن الثغرات الإجرائية (ACL NLLP 2025).</w:t>
            </w:r>
          </w:p>
        </w:tc>
      </w:tr>
    </w:tbl>
    <w:p>
      <w:pPr>
        <w:pStyle w:val="Heading2"/>
        <w:bidi/>
        <w:jc w:val="right"/>
      </w:pPr>
      <w:r>
        <w:rPr>
          <w:rFonts w:ascii="Arial" w:cs="Arial" w:eastAsia="Arial" w:hAnsi="Arial"/>
          <w:b/>
          <w:bCs/>
          <w:rtl/>
        </w:rPr>
        <w:t xml:space="preserve">ب) المداولة الجماعية وأنماط الفشل والتحيّز</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626"/>
      </w:tblGrid>
      <w:tr>
        <w:trPr>
          <w:tblHeader/>
        </w:trPr>
        <w:tc>
          <w:tcPr>
            <w:tcW w:type="dxa" w:w="2300"/>
            <w:tcBorders>
              <w:top w:val="single" w:color="C9D2E6" w:sz="4"/>
              <w:left w:val="single" w:color="C9D2E6" w:sz="4"/>
              <w:bottom w:val="single" w:color="C9D2E6" w:sz="4"/>
              <w:right w:val="single" w:color="C9D2E6" w:sz="4"/>
            </w:tcBorders>
            <w:shd w:fill="DDE3F7" w:val="clear"/>
            <w:tcMar>
              <w:top w:type="dxa" w:w="66"/>
              <w:left w:type="dxa" w:w="110"/>
              <w:bottom w:type="dxa" w:w="66"/>
              <w:right w:type="dxa" w:w="110"/>
            </w:tcMar>
            <w:vAlign w:val="center"/>
          </w:tcPr>
          <w:p>
            <w:pPr>
              <w:bidi/>
              <w:spacing w:after="0" w:line="286"/>
              <w:jc w:val="right"/>
            </w:pPr>
            <w:r>
              <w:rPr>
                <w:rFonts w:ascii="Arial" w:cs="Arial" w:eastAsia="Arial" w:hAnsi="Arial"/>
                <w:b/>
                <w:bCs/>
                <w:color w:val="1B2440"/>
                <w:rtl/>
              </w:rPr>
              <w:t xml:space="preserve">الورقة</w:t>
            </w:r>
          </w:p>
        </w:tc>
        <w:tc>
          <w:tcPr>
            <w:tcW w:type="dxa" w:w="2100"/>
            <w:tcBorders>
              <w:top w:val="single" w:color="C9D2E6" w:sz="4"/>
              <w:left w:val="single" w:color="C9D2E6" w:sz="4"/>
              <w:bottom w:val="single" w:color="C9D2E6" w:sz="4"/>
              <w:right w:val="single" w:color="C9D2E6" w:sz="4"/>
            </w:tcBorders>
            <w:shd w:fill="DDE3F7" w:val="clear"/>
            <w:tcMar>
              <w:top w:type="dxa" w:w="66"/>
              <w:left w:type="dxa" w:w="110"/>
              <w:bottom w:type="dxa" w:w="66"/>
              <w:right w:type="dxa" w:w="110"/>
            </w:tcMar>
            <w:vAlign w:val="center"/>
          </w:tcPr>
          <w:p>
            <w:pPr>
              <w:bidi/>
              <w:spacing w:after="0" w:line="286"/>
              <w:jc w:val="right"/>
            </w:pPr>
            <w:r>
              <w:rPr>
                <w:rFonts w:ascii="Arial" w:cs="Arial" w:eastAsia="Arial" w:hAnsi="Arial"/>
                <w:b/>
                <w:bCs/>
                <w:color w:val="1B2440"/>
                <w:rtl/>
              </w:rPr>
              <w:t xml:space="preserve">المعرّف</w:t>
            </w:r>
          </w:p>
        </w:tc>
        <w:tc>
          <w:tcPr>
            <w:tcW w:type="dxa" w:w="4626"/>
            <w:tcBorders>
              <w:top w:val="single" w:color="C9D2E6" w:sz="4"/>
              <w:left w:val="single" w:color="C9D2E6" w:sz="4"/>
              <w:bottom w:val="single" w:color="C9D2E6" w:sz="4"/>
              <w:right w:val="single" w:color="C9D2E6" w:sz="4"/>
            </w:tcBorders>
            <w:shd w:fill="DDE3F7" w:val="clear"/>
            <w:tcMar>
              <w:top w:type="dxa" w:w="66"/>
              <w:left w:type="dxa" w:w="110"/>
              <w:bottom w:type="dxa" w:w="66"/>
              <w:right w:type="dxa" w:w="110"/>
            </w:tcMar>
            <w:vAlign w:val="center"/>
          </w:tcPr>
          <w:p>
            <w:pPr>
              <w:bidi/>
              <w:spacing w:after="0" w:line="286"/>
              <w:jc w:val="right"/>
            </w:pPr>
            <w:r>
              <w:rPr>
                <w:rFonts w:ascii="Arial" w:cs="Arial" w:eastAsia="Arial" w:hAnsi="Arial"/>
                <w:b/>
                <w:bCs/>
                <w:color w:val="1B2440"/>
                <w:rtl/>
              </w:rPr>
              <w:t xml:space="preserve">الدور في «بيّن»</w:t>
            </w:r>
          </w:p>
        </w:tc>
      </w:tr>
      <w:tr>
        <w:tc>
          <w:tcPr>
            <w:tcW w:type="dxa" w:w="23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Multi‑Agent Debate (Du et al.)</w:t>
            </w:r>
          </w:p>
        </w:tc>
        <w:tc>
          <w:tcPr>
            <w:tcW w:type="dxa" w:w="21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arXiv:2305.14325</w:t>
            </w:r>
          </w:p>
        </w:tc>
        <w:tc>
          <w:tcPr>
            <w:tcW w:type="dxa" w:w="462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أساس مداولة دائرة الاستئناف (ICML 2024).</w:t>
            </w:r>
          </w:p>
        </w:tc>
      </w:tr>
      <w:tr>
        <w:tc>
          <w:tcPr>
            <w:tcW w:type="dxa" w:w="23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Position Bias in LLM‑as‑Judge</w:t>
            </w:r>
          </w:p>
        </w:tc>
        <w:tc>
          <w:tcPr>
            <w:tcW w:type="dxa" w:w="21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arXiv:2406.07791</w:t>
            </w:r>
          </w:p>
        </w:tc>
        <w:tc>
          <w:tcPr>
            <w:tcW w:type="dxa" w:w="4626"/>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مبرّر تعشية ترتيب الأطراف عند التقييم.</w:t>
            </w:r>
          </w:p>
        </w:tc>
      </w:tr>
      <w:tr>
        <w:tc>
          <w:tcPr>
            <w:tcW w:type="dxa" w:w="23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Self‑Preference Bias</w:t>
            </w:r>
          </w:p>
        </w:tc>
        <w:tc>
          <w:tcPr>
            <w:tcW w:type="dxa" w:w="21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arXiv:2410.21819</w:t>
            </w:r>
          </w:p>
        </w:tc>
        <w:tc>
          <w:tcPr>
            <w:tcW w:type="dxa" w:w="462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تجنّب تقييم النموذج لمخرجاته.</w:t>
            </w:r>
          </w:p>
        </w:tc>
      </w:tr>
      <w:tr>
        <w:tc>
          <w:tcPr>
            <w:tcW w:type="dxa" w:w="23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Sycophancy Propagation</w:t>
            </w:r>
          </w:p>
        </w:tc>
        <w:tc>
          <w:tcPr>
            <w:tcW w:type="dxa" w:w="21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arXiv:2604.02668</w:t>
            </w:r>
          </w:p>
        </w:tc>
        <w:tc>
          <w:tcPr>
            <w:tcW w:type="dxa" w:w="4626"/>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مبرّر تنوّع النماذج والجولة العمياء.</w:t>
            </w:r>
          </w:p>
        </w:tc>
      </w:tr>
      <w:tr>
        <w:tc>
          <w:tcPr>
            <w:tcW w:type="dxa" w:w="23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Large Legal Fictions (Stanford)</w:t>
            </w:r>
          </w:p>
        </w:tc>
        <w:tc>
          <w:tcPr>
            <w:tcW w:type="dxa" w:w="21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arXiv:2401.01301</w:t>
            </w:r>
          </w:p>
        </w:tc>
        <w:tc>
          <w:tcPr>
            <w:tcW w:type="dxa" w:w="462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قياس الهلوسة القانونية (69–88%) → بوابة الاستشهاد الإلزامية.</w:t>
            </w:r>
          </w:p>
        </w:tc>
      </w:tr>
    </w:tbl>
    <w:p>
      <w:pPr>
        <w:pStyle w:val="Heading2"/>
        <w:bidi/>
        <w:jc w:val="right"/>
      </w:pPr>
      <w:r>
        <w:rPr>
          <w:rFonts w:ascii="Arial" w:cs="Arial" w:eastAsia="Arial" w:hAnsi="Arial"/>
          <w:b/>
          <w:bCs/>
          <w:rtl/>
        </w:rPr>
        <w:t xml:space="preserve">ج) الموارد العربية والسعودية القانونية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626"/>
      </w:tblGrid>
      <w:tr>
        <w:trPr>
          <w:tblHeader/>
        </w:trPr>
        <w:tc>
          <w:tcPr>
            <w:tcW w:type="dxa" w:w="2300"/>
            <w:tcBorders>
              <w:top w:val="single" w:color="C9D2E6" w:sz="4"/>
              <w:left w:val="single" w:color="C9D2E6" w:sz="4"/>
              <w:bottom w:val="single" w:color="C9D2E6" w:sz="4"/>
              <w:right w:val="single" w:color="C9D2E6" w:sz="4"/>
            </w:tcBorders>
            <w:shd w:fill="DDE3F7" w:val="clear"/>
            <w:tcMar>
              <w:top w:type="dxa" w:w="66"/>
              <w:left w:type="dxa" w:w="110"/>
              <w:bottom w:type="dxa" w:w="66"/>
              <w:right w:type="dxa" w:w="110"/>
            </w:tcMar>
            <w:vAlign w:val="center"/>
          </w:tcPr>
          <w:p>
            <w:pPr>
              <w:bidi/>
              <w:spacing w:after="0" w:line="286"/>
              <w:jc w:val="right"/>
            </w:pPr>
            <w:r>
              <w:rPr>
                <w:rFonts w:ascii="Arial" w:cs="Arial" w:eastAsia="Arial" w:hAnsi="Arial"/>
                <w:b/>
                <w:bCs/>
                <w:color w:val="1B2440"/>
                <w:rtl/>
              </w:rPr>
              <w:t xml:space="preserve">المورد</w:t>
            </w:r>
          </w:p>
        </w:tc>
        <w:tc>
          <w:tcPr>
            <w:tcW w:type="dxa" w:w="2100"/>
            <w:tcBorders>
              <w:top w:val="single" w:color="C9D2E6" w:sz="4"/>
              <w:left w:val="single" w:color="C9D2E6" w:sz="4"/>
              <w:bottom w:val="single" w:color="C9D2E6" w:sz="4"/>
              <w:right w:val="single" w:color="C9D2E6" w:sz="4"/>
            </w:tcBorders>
            <w:shd w:fill="DDE3F7" w:val="clear"/>
            <w:tcMar>
              <w:top w:type="dxa" w:w="66"/>
              <w:left w:type="dxa" w:w="110"/>
              <w:bottom w:type="dxa" w:w="66"/>
              <w:right w:type="dxa" w:w="110"/>
            </w:tcMar>
            <w:vAlign w:val="center"/>
          </w:tcPr>
          <w:p>
            <w:pPr>
              <w:bidi/>
              <w:spacing w:after="0" w:line="286"/>
              <w:jc w:val="right"/>
            </w:pPr>
            <w:r>
              <w:rPr>
                <w:rFonts w:ascii="Arial" w:cs="Arial" w:eastAsia="Arial" w:hAnsi="Arial"/>
                <w:b/>
                <w:bCs/>
                <w:color w:val="1B2440"/>
                <w:rtl/>
              </w:rPr>
              <w:t xml:space="preserve">المعرّف</w:t>
            </w:r>
          </w:p>
        </w:tc>
        <w:tc>
          <w:tcPr>
            <w:tcW w:type="dxa" w:w="4626"/>
            <w:tcBorders>
              <w:top w:val="single" w:color="C9D2E6" w:sz="4"/>
              <w:left w:val="single" w:color="C9D2E6" w:sz="4"/>
              <w:bottom w:val="single" w:color="C9D2E6" w:sz="4"/>
              <w:right w:val="single" w:color="C9D2E6" w:sz="4"/>
            </w:tcBorders>
            <w:shd w:fill="DDE3F7" w:val="clear"/>
            <w:tcMar>
              <w:top w:type="dxa" w:w="66"/>
              <w:left w:type="dxa" w:w="110"/>
              <w:bottom w:type="dxa" w:w="66"/>
              <w:right w:type="dxa" w:w="110"/>
            </w:tcMar>
            <w:vAlign w:val="center"/>
          </w:tcPr>
          <w:p>
            <w:pPr>
              <w:bidi/>
              <w:spacing w:after="0" w:line="286"/>
              <w:jc w:val="right"/>
            </w:pPr>
            <w:r>
              <w:rPr>
                <w:rFonts w:ascii="Arial" w:cs="Arial" w:eastAsia="Arial" w:hAnsi="Arial"/>
                <w:b/>
                <w:bCs/>
                <w:color w:val="1B2440"/>
                <w:rtl/>
              </w:rPr>
              <w:t xml:space="preserve">الدور في «بيّن»</w:t>
            </w:r>
          </w:p>
        </w:tc>
      </w:tr>
      <w:tr>
        <w:tc>
          <w:tcPr>
            <w:tcW w:type="dxa" w:w="23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ALARB</w:t>
            </w:r>
          </w:p>
        </w:tc>
        <w:tc>
          <w:tcPr>
            <w:tcW w:type="dxa" w:w="21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arXiv:2510.00694</w:t>
            </w:r>
          </w:p>
        </w:tc>
        <w:tc>
          <w:tcPr>
            <w:tcW w:type="dxa" w:w="462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13 ألف قضية سعودية تجارية مع تسبيب → أسلوب التسبيب والتقييم (ArabicNLP 2025).</w:t>
            </w:r>
          </w:p>
        </w:tc>
      </w:tr>
      <w:tr>
        <w:tc>
          <w:tcPr>
            <w:tcW w:type="dxa" w:w="23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ArabLegalEval</w:t>
            </w:r>
          </w:p>
        </w:tc>
        <w:tc>
          <w:tcPr>
            <w:tcW w:type="dxa" w:w="21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arXiv:2408.07983</w:t>
            </w:r>
          </w:p>
        </w:tc>
        <w:tc>
          <w:tcPr>
            <w:tcW w:type="dxa" w:w="4626"/>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بنشمارك قانونيٌّ سعوديٌّ للتقييم (ArabicNLP 2024).</w:t>
            </w:r>
          </w:p>
        </w:tc>
      </w:tr>
      <w:tr>
        <w:tc>
          <w:tcPr>
            <w:tcW w:type="dxa" w:w="23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ALLaM (سدايا)</w:t>
            </w:r>
          </w:p>
        </w:tc>
        <w:tc>
          <w:tcPr>
            <w:tcW w:type="dxa" w:w="21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arXiv:2407.15390</w:t>
            </w:r>
          </w:p>
        </w:tc>
        <w:tc>
          <w:tcPr>
            <w:tcW w:type="dxa" w:w="462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نموذجٌ عربيٌّ مرجعيٌّ للمقارنة.</w:t>
            </w:r>
          </w:p>
        </w:tc>
      </w:tr>
      <w:tr>
        <w:tc>
          <w:tcPr>
            <w:tcW w:type="dxa" w:w="23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Jais</w:t>
            </w:r>
          </w:p>
        </w:tc>
        <w:tc>
          <w:tcPr>
            <w:tcW w:type="dxa" w:w="21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arXiv:2308.16149</w:t>
            </w:r>
          </w:p>
        </w:tc>
        <w:tc>
          <w:tcPr>
            <w:tcW w:type="dxa" w:w="4626"/>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نموذجٌ عربيٌّ مرجعيٌّ للمقارنة.</w:t>
            </w:r>
          </w:p>
        </w:tc>
      </w:tr>
      <w:tr>
        <w:tc>
          <w:tcPr>
            <w:tcW w:type="dxa" w:w="23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BALSAM / Fanar</w:t>
            </w:r>
          </w:p>
        </w:tc>
        <w:tc>
          <w:tcPr>
            <w:tcW w:type="dxa" w:w="21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arXiv:2507.22603</w:t>
            </w:r>
          </w:p>
        </w:tc>
        <w:tc>
          <w:tcPr>
            <w:tcW w:type="dxa" w:w="462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بنشمارك عربيٌّ عام ونموذجٌ عربيٌّ للمقارنة.</w:t>
            </w:r>
          </w:p>
        </w:tc>
      </w:tr>
      <w:tr>
        <w:tc>
          <w:tcPr>
            <w:tcW w:type="dxa" w:w="23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AraLegal‑BERT</w:t>
            </w:r>
          </w:p>
        </w:tc>
        <w:tc>
          <w:tcPr>
            <w:tcW w:type="dxa" w:w="2100"/>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arXiv:2210.08284</w:t>
            </w:r>
          </w:p>
        </w:tc>
        <w:tc>
          <w:tcPr>
            <w:tcW w:type="dxa" w:w="4626"/>
            <w:tcBorders>
              <w:top w:val="single" w:color="C9D2E6" w:sz="4"/>
              <w:left w:val="single" w:color="C9D2E6" w:sz="4"/>
              <w:bottom w:val="single" w:color="C9D2E6" w:sz="4"/>
              <w:right w:val="single" w:color="C9D2E6" w:sz="4"/>
            </w:tcBorders>
            <w:shd w:fill="F4F6FC" w:val="clear"/>
            <w:tcMar>
              <w:top w:type="dxa" w:w="66"/>
              <w:left w:type="dxa" w:w="110"/>
              <w:bottom w:type="dxa" w:w="66"/>
              <w:right w:type="dxa" w:w="110"/>
            </w:tcMar>
            <w:vAlign w:val="center"/>
          </w:tcPr>
          <w:p>
            <w:pPr>
              <w:bidi/>
              <w:spacing w:after="0" w:line="286"/>
              <w:jc w:val="right"/>
            </w:pPr>
            <w:r>
              <w:rPr>
                <w:rFonts w:ascii="Arial" w:cs="Arial" w:eastAsia="Arial" w:hAnsi="Arial"/>
                <w:rtl/>
              </w:rPr>
              <w:t xml:space="preserve">تضميناتٌ قانونيةٌ عربيةٌ لاسترجاع RAG.</w:t>
            </w:r>
          </w:p>
        </w:tc>
      </w:tr>
      <w:tr>
        <w:tc>
          <w:tcPr>
            <w:tcW w:type="dxa" w:w="23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مجموعة ديوان المظالم</w:t>
            </w:r>
          </w:p>
        </w:tc>
        <w:tc>
          <w:tcPr>
            <w:tcW w:type="dxa" w:w="2100"/>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PMC12860909</w:t>
            </w:r>
          </w:p>
        </w:tc>
        <w:tc>
          <w:tcPr>
            <w:tcW w:type="dxa" w:w="4626"/>
            <w:tcBorders>
              <w:top w:val="single" w:color="C9D2E6" w:sz="4"/>
              <w:left w:val="single" w:color="C9D2E6" w:sz="4"/>
              <w:bottom w:val="single" w:color="C9D2E6" w:sz="4"/>
              <w:right w:val="single" w:color="C9D2E6" w:sz="4"/>
            </w:tcBorders>
            <w:tcMar>
              <w:top w:type="dxa" w:w="66"/>
              <w:left w:type="dxa" w:w="110"/>
              <w:bottom w:type="dxa" w:w="66"/>
              <w:right w:type="dxa" w:w="110"/>
            </w:tcMar>
            <w:vAlign w:val="center"/>
          </w:tcPr>
          <w:p>
            <w:pPr>
              <w:bidi/>
              <w:spacing w:after="0" w:line="286"/>
              <w:jc w:val="right"/>
            </w:pPr>
            <w:r>
              <w:rPr>
                <w:rFonts w:ascii="Arial" w:cs="Arial" w:eastAsia="Arial" w:hAnsi="Arial"/>
                <w:rtl/>
              </w:rPr>
              <w:t xml:space="preserve">3,170 قضيةً سعوديةً مصنّفةً (بياناتٌ مرجعية).</w:t>
            </w:r>
          </w:p>
        </w:tc>
      </w:tr>
    </w:tbl>
    <w:p>
      <w:pPr>
        <w:pBdr>
          <w:bottom w:val="single" w:color="C9D2E6" w:sz="8" w:space="4"/>
        </w:pBdr>
        <w:spacing w:after="120"/>
      </w:pPr>
      <w:r>
        <w:rPr>
          <w:rFonts w:ascii="Arial" w:cs="Arial" w:eastAsia="Arial" w:hAnsi="Arial"/>
          <w:rtl/>
        </w:rPr>
        <w:t xml:space="preserve"/>
      </w:r>
    </w:p>
    <w:p>
      <w:pPr>
        <w:bidi/>
        <w:spacing w:before="60"/>
        <w:jc w:val="center"/>
      </w:pPr>
      <w:r>
        <w:rPr>
          <w:rFonts w:ascii="Arial" w:cs="Arial" w:eastAsia="Arial" w:hAnsi="Arial"/>
          <w:color w:val="5A6072"/>
          <w:sz w:val="18"/>
          <w:szCs w:val="18"/>
          <w:rtl/>
        </w:rPr>
        <w:t xml:space="preserve">نظام «بيّن» — محاكاة تدريبية للقضاء السعودي · هذا المستند تعريفيٌّ ولا يُعدّ استشارةً قانونية.</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A6072"/>
        <w:sz w:val="18"/>
        <w:szCs w:val="18"/>
        <w:rtl/>
      </w:rPr>
      <w:t xml:space="preserve">صفحة </w:t>
    </w:r>
    <w:r>
      <w:rPr>
        <w:rFonts w:ascii="Arial" w:cs="Arial" w:eastAsia="Arial" w:hAnsi="Arial"/>
        <w:color w:val="5A6072"/>
        <w:sz w:val="18"/>
        <w:szCs w:val="18"/>
        <w:rt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CE8" w:sz="4" w:space="2"/>
      </w:pBdr>
      <w:bidi/>
      <w:spacing w:after="0"/>
      <w:jc w:val="right"/>
    </w:pPr>
    <w:r>
      <w:rPr>
        <w:rFonts w:ascii="Arial" w:cs="Arial" w:eastAsia="Arial" w:hAnsi="Arial"/>
        <w:color w:val="9098AC"/>
        <w:sz w:val="16"/>
        <w:szCs w:val="16"/>
        <w:rtl/>
      </w:rPr>
      <w:t xml:space="preserve">نظام «بيّن» — ملف تعريفي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3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3B4FB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A31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2026-06-03T20:55:33.993Z</dcterms:created>
  <dcterms:modified xsi:type="dcterms:W3CDTF">2026-06-03T20:55:33.995Z</dcterms:modified>
</cp:coreProperties>
</file>

<file path=docProps/custom.xml><?xml version="1.0" encoding="utf-8"?>
<Properties xmlns="http://schemas.openxmlformats.org/officeDocument/2006/custom-properties" xmlns:vt="http://schemas.openxmlformats.org/officeDocument/2006/docPropsVTypes"/>
</file>