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80"/>
      </w:pPr>
    </w:p>
    <w:p>
      <w:pPr>
        <w:spacing w:after="480"/>
        <w:jc w:val="center"/>
      </w:pPr>
      <w:r>
        <w:rPr>
          <w:b/>
          <w:sz w:val="44"/>
        </w:rPr>
        <w:t>FusionNet: A Multi-Modal Edge AI Framework for Real-Time Road Hazard Detection Using Vision and Inertial Telemetry</w:t>
      </w:r>
    </w:p>
    <w:p>
      <w:pPr>
        <w:spacing w:after="960"/>
        <w:jc w:val="center"/>
      </w:pPr>
      <w:r>
        <w:rPr>
          <w:i/>
          <w:sz w:val="28"/>
        </w:rPr>
        <w:t>Version 2.0.0 — Research Milestone</w:t>
      </w:r>
    </w:p>
    <w:p>
      <w:pPr>
        <w:jc w:val="center"/>
      </w:pPr>
      <w:r>
        <w:rPr>
          <w:sz w:val="24"/>
        </w:rPr>
        <w:t>Medhansh Kabadwal</w:t>
        <w:br/>
        <w:t>Independent Research</w:t>
        <w:br/>
        <w:t>Ghaziabad, Uttar Pradesh, India</w:t>
        <w:br/>
        <w:t>medhansh.5@outlook.com</w:t>
        <w:br/>
        <w:br/>
        <w:t>June 2026</w:t>
      </w:r>
    </w:p>
    <w:p>
      <w:r>
        <w:br w:type="page"/>
      </w:r>
    </w:p>
    <w:p>
      <w:pPr>
        <w:pStyle w:val="Heading1"/>
        <w:keepNext/>
        <w:spacing w:before="360" w:after="120"/>
        <w:jc w:val="center"/>
      </w:pPr>
      <w:r>
        <w:t>Acknowledgements</w:t>
      </w:r>
    </w:p>
    <w:p>
      <w:pPr>
        <w:spacing w:line="360" w:lineRule="auto"/>
        <w:jc w:val="both"/>
      </w:pPr>
      <w:r>
        <w:rPr>
          <w:sz w:val="22"/>
        </w:rPr>
        <w:t>This independent research project required immense technical and personal support, and it would not have been realized without the contributions of my community. I extend my deepest gratitude to my mentors and close peers—Timo Wiol, Jason Gronn, and Zuber Kariye—whose rigorous technical discussions, late-night architectural reviews on Discord, and uncompromising feedback fundamentally shaped the multi-modal framework presented here. I am equally indebted to my lifelong childhood friend, Rajlaxmi Bhatia, for her unwavering personal support, patience, and encouragement throughout the grueling and highly iterative field testing phases over the last few months. Finally, I must express my profound affection for my beagle, Cherri, whom I consider my daughter; her quiet companionship and joyful presence provided immense comfort and grounding during the most demanding debugging sessions of this v2.0 development cycle.</w:t>
      </w:r>
    </w:p>
    <w:p>
      <w:r>
        <w:br w:type="page"/>
      </w:r>
    </w:p>
    <w:p>
      <w:pPr>
        <w:pStyle w:val="Heading1"/>
        <w:keepNext/>
        <w:spacing w:before="360" w:after="120"/>
        <w:jc w:val="center"/>
      </w:pPr>
      <w:r>
        <w:t>Table of Contents</w:t>
      </w:r>
    </w:p>
    <w:p>
      <w:r>
        <w:fldChar w:fldCharType="begin"/>
        <w:instrText xml:space="preserve">TOC \o "1-3" \h \z \u</w:instrText>
        <w:fldChar w:fldCharType="separate"/>
        <w:fldChar w:fldCharType="end"/>
      </w:r>
    </w:p>
    <w:p>
      <w:r>
        <w:rPr>
          <w:i/>
          <w:sz w:val="18"/>
        </w:rPr>
        <w:t>(Note: When you open this in Word, right-click this text and select 'Update Field' to automatically generate the page numbers for the Index.)</w:t>
      </w:r>
    </w:p>
    <w:p>
      <w:pPr>
        <w:sectPr>
          <w:footerReference w:type="default" r:id="rId9"/>
          <w:pgSz w:w="12240" w:h="15840"/>
          <w:pgMar w:top="1440" w:right="1440" w:bottom="1440" w:left="1440" w:header="720" w:footer="720" w:gutter="0"/>
          <w:cols w:space="720"/>
          <w:docGrid w:linePitch="360"/>
        </w:sectPr>
      </w:pPr>
    </w:p>
    <w:p>
      <w:pPr>
        <w:pStyle w:val="Heading1"/>
        <w:keepNext/>
        <w:spacing w:before="360" w:after="120"/>
      </w:pPr>
      <w:r>
        <w:t>1. Abstract</w:t>
      </w:r>
    </w:p>
    <w:p>
      <w:pPr>
        <w:ind w:firstLine="288"/>
        <w:jc w:val="both"/>
      </w:pPr>
      <w:r>
        <w:t>The intersection of artificial intelligence and two-wheeler mobility presents a critical frontier in modern transportation safety. While the initial proof-of-concept (FusionNet v1.0) demonstrated the theoretical viability of multi-modal edge AI, taking it out of the lab and onto the chaotic infrastructure of Uttar Pradesh, India, over the past three months exposed severe physical edge cases. Traditional single-sensor perception systems exhibit catastrophic failure modes here: vision-based models suffer from severe spatial occlusion in high-density traffic, while inertial-only systems are easily overwhelmed by the aggressive mechanical noise of an internal combustion engine. To resolve this perception deficit, this paper introduces FusionNet v2.0: a deeply refined, computationally lightweight Edge AI framework. Built on months of grueling field telemetry analysis, the system synchronizes visual spatial data with physical inertial telemetry. Deployed locally on a commercial smartphone (Snapdragon 8 Gen 2, 8GB RAM) rigidly mounted to the chassis of a 349cc single-cylinder motorcycle, the framework simultaneously processes a 30 FPS RGB video stream alongside a 100 Hz IMU accelerometer feed. To isolate transient kinetic impacts from sustained engine harmonics, the inertial pipeline relies on a natively compiled C++ 4th-order Butterworth High-Pass Filter. The most significant leap in this v2.0 architecture—developed specifically to fix the false-positive cascade seen in early road trials—is a novel 6-Degrees-of-Freedom (6-DOF) quaternion-based spatial tracking module. This mathematically subtracts lateral and longitudinal shear during high-speed loss-of-control maneuvers. With visual confidence derived from an anchor-free YOLOv8 nano model and sub-millisecond temporal synchronization, extensive field evaluations across 4,200 frames in Ghaziabad demonstrate an F1-Score of 0.91 and a latency of ~21.4 ms. This iteration proves that with enough rigorous, hard-fought optimization, advanced safety-critical perception can run deterministically on everyday consumer hardware.</w:t>
      </w:r>
    </w:p>
    <w:p>
      <w:pPr>
        <w:pStyle w:val="Heading1"/>
        <w:keepNext/>
        <w:spacing w:before="360" w:after="120"/>
      </w:pPr>
      <w:r>
        <w:t>2. Introduction</w:t>
      </w:r>
    </w:p>
    <w:p>
      <w:pPr>
        <w:pStyle w:val="Heading2"/>
        <w:keepNext/>
        <w:spacing w:before="360" w:after="120"/>
      </w:pPr>
      <w:r>
        <w:t>2.1. The Crisis of Traffic and Infrastructure</w:t>
      </w:r>
    </w:p>
    <w:p>
      <w:pPr>
        <w:ind w:firstLine="288"/>
        <w:jc w:val="both"/>
      </w:pPr>
      <w:r>
        <w:t>Navigating urban environments in the developing world presents acute, systemic risks for two-wheeler commuters. The structural decay of municipal roadways, coupled with high-density, unregulated traffic patterns and a lack of standardized lane discipline, creates an environment where hazards are pervasive, dynamic, and frequently fatal. The statistical reality of this infrastructural deficit is staggering. In 2024 alone, the state of Uttar Pradesh recorded 46,052 road accidents, resulting in 24,118 fatalities and 34,665 severe injuries [1]. By May 2025, preliminary iRAD data indicated over 13,000 accidents and nearly 7,700 fatalities in the first five months of the year [2]. Localized municipal traffic data in Ghaziabad further emphasizes this crisis, recording 1,007 accidents and 376 fatalities over an eleven-month period in 2025 [3]. A significant plurality of these incidents are directly attributable to road surface failures—specifically unbarricaded potholes, fragmented macadam, and abrupt topographic anomalies. Between 2020 and 2024, pothole-related accidents caused 9,438 fatalities nationwide, with Uttar Pradesh accounting for 54% of that demographic [4]. For motorcycle riders, who are projected to outnumber total car density in India by 2050 [5], relying on passive safety gear is insufficient. Deploying accessible, intelligent rider assistance systems is a critical infrastructural necessity.</w:t>
      </w:r>
    </w:p>
    <w:p>
      <w:pPr>
        <w:pStyle w:val="Heading2"/>
        <w:keepNext/>
        <w:spacing w:before="360" w:after="120"/>
      </w:pPr>
      <w:r>
        <w:t>2.2. Vulnerabilities of Single-Modality Perception</w:t>
      </w:r>
    </w:p>
    <w:p>
      <w:pPr>
        <w:ind w:firstLine="288"/>
        <w:jc w:val="both"/>
      </w:pPr>
      <w:r>
        <w:t>Existing academic and commercial approaches to mobile road hazard detection rely predominantly on either vision-only or IMU-only architectures. Both paradigms exhibit distinct, often fatal, failure modes when subjected to real-world Indian traffic conditions. Vision-only models, including state-of-the-art Convolutional Neural Networks (CNNs) and Vision Transformers (ViTs), are intrinsically bound by line-of-sight constraints [6]. When following distances are reduced to mere inches—a standard paradigm in dense urban commuting—the camera's optical path to the road surface is entirely obstructed by preceding vehicles, rendering the predictive model mathematically blind to impending structural drop-offs. Conversely, IMU-only systems measure physical kinetic shifts but inherently lack spatial context. On a standard single-cylinder internal combustion engine (ICE) motorcycle, raw accelerometer telemetry is aggressively saturated with mechanical resonance [7]. Without sophisticated, deterministically executed digital signal processing, an IMU cannot distinguish between a legitimate hazard impact, the rider shifting weight, hard braking dive, or the engine achieving a resonant harmonic frequency at high highway RPMs. This ambiguity results in a proliferation of false-positive alerts, rapidly destroying user trust in the system.</w:t>
      </w:r>
    </w:p>
    <w:p>
      <w:pPr>
        <w:pStyle w:val="Heading2"/>
        <w:keepNext/>
        <w:spacing w:before="360" w:after="120"/>
      </w:pPr>
      <w:r>
        <w:t>2.3. Iterative Development and v2.0 Contributions</w:t>
      </w:r>
    </w:p>
    <w:p>
      <w:pPr>
        <w:ind w:firstLine="288"/>
        <w:jc w:val="both"/>
      </w:pPr>
      <w:r>
        <w:t>The transition from the initial FusionNet baseline to this v2.0 architecture represents a nearly three-month engineering effort focused entirely on surviving real-world deployment. The v1.0 pipeline frequently crashed or hallucinated hazards when the motorcycle hit a certain RPM resonance or experienced high-speed wobble. The primary objective of this updated research is to architect a computationally viable solution that doesn't just work in a controlled theoretical environment, but actually survives the physical chaos of daily commuting. The core contributions of this heavily revised paper are threefold:</w:t>
      </w:r>
    </w:p>
    <w:p>
      <w:pPr>
        <w:pStyle w:val="ListBullet"/>
        <w:jc w:val="both"/>
      </w:pPr>
      <w:r>
        <w:rPr>
          <w:rFonts w:ascii="Times New Roman" w:hAnsi="Times New Roman"/>
          <w:sz w:val="20"/>
        </w:rPr>
        <w:t>The formulation of a robust, low-latency C++ signal processing pipeline that aggressively filters ICE harmonic noise without dampening the kinetic signature of true physical impacts.</w:t>
      </w:r>
    </w:p>
    <w:p>
      <w:pPr>
        <w:pStyle w:val="ListBullet"/>
        <w:jc w:val="both"/>
      </w:pPr>
      <w:r>
        <w:rPr>
          <w:rFonts w:ascii="Times New Roman" w:hAnsi="Times New Roman"/>
          <w:sz w:val="20"/>
        </w:rPr>
        <w:t>The introduction of a quaternion-based isolation matrix that mathematically decouples vertical road anomalies from lateral chassis instability—directly solving the "tank-slapper" edge cases that plagued earlier versions.</w:t>
      </w:r>
    </w:p>
    <w:p>
      <w:pPr>
        <w:pStyle w:val="ListBullet"/>
        <w:jc w:val="both"/>
      </w:pPr>
      <w:r>
        <w:rPr>
          <w:rFonts w:ascii="Times New Roman" w:hAnsi="Times New Roman"/>
          <w:sz w:val="20"/>
        </w:rPr>
        <w:t>The empirical validation of a late-fusion probabilistic model running locally on consumer smartphone hardware, proving the viability of democratized ARAS technology without the need for bespoke LiDAR or radar arrays.</w:t>
      </w:r>
    </w:p>
    <w:p>
      <w:pPr>
        <w:pStyle w:val="Heading1"/>
        <w:keepNext/>
        <w:spacing w:before="360" w:after="120"/>
      </w:pPr>
      <w:r>
        <w:t>3. Related Work</w:t>
      </w:r>
    </w:p>
    <w:p>
      <w:pPr>
        <w:pStyle w:val="Heading2"/>
        <w:keepNext/>
        <w:spacing w:before="360" w:after="120"/>
      </w:pPr>
      <w:r>
        <w:t>3.1. Edge-Optimized Computer Vision</w:t>
      </w:r>
    </w:p>
    <w:p>
      <w:pPr>
        <w:ind w:firstLine="288"/>
        <w:jc w:val="both"/>
      </w:pPr>
      <w:r>
        <w:t>The evolution of the You Only Look Once (YOLO) object detection architectures has fundamentally shifted the viability of real-time computer vision on mobile hardware. While earlier iterations (YOLOv3, YOLOv5) relied heavily on anchor-based prediction paradigms, the transition to anchor-free detection in YOLOv8 has streamlined the computational graph. By decoupling the detection head into independent classification and bounding-box regression tasks, YOLOv8 minimizes inference overhead [8]. However, literature consistently highlights that while inference speed on edge Neural Processing Units (NPUs) has improved, ambient environmental degradation (dust, low-light, headlight glare) severely compromises the precision-recall curve in vision-only deployments [9].</w:t>
      </w:r>
    </w:p>
    <w:p>
      <w:pPr>
        <w:pStyle w:val="Heading2"/>
        <w:keepNext/>
        <w:spacing w:before="360" w:after="120"/>
      </w:pPr>
      <w:r>
        <w:t>3.2. Inertial Telemetry and Chassis Dynamics</w:t>
      </w:r>
    </w:p>
    <w:p>
      <w:pPr>
        <w:ind w:firstLine="288"/>
        <w:jc w:val="both"/>
      </w:pPr>
      <w:r>
        <w:t>Vibration analysis in the context of two-wheeler dynamics has historically focused on rider ergonomics and mechanical fatigue. Modal frequency response analyses of under-square ICE architectures confirm that aggressive primary and secondary inertial forces transmit directly through the chassis to the steering column [10]. Academic efforts to utilize commercial IMUs for surface classification have frequently stalled due to computational bottlenecks when attempting to run complex Fast Fourier Transforms (FFTs) or high-order recursive filters within high-level, garbage-collected programming languages like Python during real-time execution.</w:t>
      </w:r>
    </w:p>
    <w:p>
      <w:pPr>
        <w:pStyle w:val="Heading2"/>
        <w:keepNext/>
        <w:spacing w:before="360" w:after="120"/>
      </w:pPr>
      <w:r>
        <w:t>3.3. Multi-Modal Late-Fusion Architectures</w:t>
      </w:r>
    </w:p>
    <w:p>
      <w:pPr>
        <w:ind w:firstLine="288"/>
        <w:jc w:val="both"/>
      </w:pPr>
      <w:r>
        <w:t>To bypass the curse of dimensionality inherent in early-fusion (raw data concatenation) and the computational expense of mid-fusion (shared latent space mapping), recent autonomous driving frameworks have gravitated toward late-fusion, or decision-level, integration [11]. By permitting independent subsystems to generate localized confidence intervals, late-fusion frameworks can utilize Bayesian probability matrices or Kalman filters to gracefully handle sensor degradation. FusionNet adapts this high-level autonomous vehicle logic for the constrained processing environment of a commercial smartphone.</w:t>
      </w:r>
    </w:p>
    <w:p>
      <w:pPr>
        <w:pStyle w:val="Heading1"/>
        <w:keepNext/>
        <w:spacing w:before="360" w:after="120"/>
      </w:pPr>
      <w:r>
        <w:t>4. System Architecture</w:t>
      </w:r>
    </w:p>
    <w:p>
      <w:pPr>
        <w:pStyle w:val="Heading2"/>
        <w:keepNext/>
        <w:spacing w:before="360" w:after="120"/>
      </w:pPr>
      <w:r>
        <w:t>4.1. The Edge Computing Platform</w:t>
      </w:r>
    </w:p>
    <w:p>
      <w:pPr>
        <w:ind w:firstLine="288"/>
        <w:jc w:val="both"/>
      </w:pPr>
      <w:r>
        <w:t>The computational nexus of FusionNet is a commercially available smartphone equipped with a Snapdragon 8 Gen 2 System-on-Chip (SoC), featuring an integrated Hexagon NPU and 8GB of LPDDR5X RAM. The device's internal MEMS (Micro-Electro-Mechanical Systems) IMU samples tri-axial linear acceleration at 100 Hz, while the primary rear-facing CMOS sensor captures RGB video at 30 FPS.</w:t>
      </w:r>
    </w:p>
    <w:p>
      <w:pPr>
        <w:pStyle w:val="Heading2"/>
        <w:keepNext/>
        <w:spacing w:before="360" w:after="120"/>
      </w:pPr>
      <w:r>
        <w:t>4.2. Mechanical Coupling and Thermal Specs</w:t>
      </w:r>
    </w:p>
    <w:p>
      <w:pPr>
        <w:ind w:firstLine="288"/>
        <w:jc w:val="both"/>
      </w:pPr>
      <w:r>
        <w:t>The hardware is mounted rigidly to the central handlebar of a 2025 Royal Enfield Classic 350. This specific motorcycle features a 349cc single-cylinder J-series engine, selected deliberately for its aggressive vibrational profile. The smartphone mount is strictly non-damped (omitting elastomeric or rubber isolators). This decision guarantees the transmission of unattenuated high-frequency road shocks to the IMU while simultaneously forcing the algorithmic pipeline to process the maximum amplitude of structural engine resonance. Furthermore, running continuous NPU inference alongside native C++ bridging generates substantial thermal load. The system is designed to maintain algorithmic efficiency even during SoC thermal throttling, a frequent reality in the Indian subcontinent's ambient climate.</w:t>
      </w:r>
    </w:p>
    <w:p>
      <w:pPr>
        <w:pStyle w:val="Heading1"/>
        <w:keepNext/>
        <w:spacing w:before="360" w:after="120"/>
      </w:pPr>
      <w:r>
        <w:t>5. Methodology</w:t>
      </w:r>
    </w:p>
    <w:p>
      <w:pPr>
        <w:pStyle w:val="Heading2"/>
        <w:keepNext/>
        <w:spacing w:before="360" w:after="120"/>
      </w:pPr>
      <w:r>
        <w:t>5.1. Signal Processing and Spectral Analysis</w:t>
      </w:r>
    </w:p>
    <w:p>
      <w:pPr>
        <w:ind w:firstLine="288"/>
        <w:jc w:val="both"/>
      </w:pPr>
      <w:r>
        <w:t>A four-stroke single-cylinder engine generates highly predictable mechanical vibration matrices. The fundamental combustion frequency is defined by:</w:t>
      </w:r>
    </w:p>
    <w:p>
      <w:pPr>
        <w:spacing w:before="120" w:after="120"/>
        <w:jc w:val="center"/>
      </w:pPr>
      <w:r>
        <w:rPr>
          <w:rFonts w:ascii="Courier New" w:hAnsi="Courier New"/>
          <w:i/>
        </w:rPr>
        <w:t>f_firing = (RPM × N_cyl) / 120</w:t>
      </w:r>
    </w:p>
    <w:p>
      <w:pPr>
        <w:ind w:firstLine="288"/>
        <w:jc w:val="both"/>
      </w:pPr>
      <w:r>
        <w:t>For the test vehicle operating at standard cruising speeds (3,000 to 5,000 RPM), the fundamental firing frequency spans 25 Hz to 41.67 Hz. The physical kinetic shock of a pothole impact presents as a rapid, broadband impulse. To isolate this impulse from the sinusoidal engine harmonics, the system utilizes a 4th-order discrete Butterworth High-Pass filter with a sampling frequency of f_s = 100 Hz and an empirically derived cut-off frequency of f_c = 20.0 Hz.</w:t>
      </w:r>
    </w:p>
    <w:p>
      <w:pPr>
        <w:pStyle w:val="Heading2"/>
        <w:keepNext/>
        <w:spacing w:before="360" w:after="120"/>
      </w:pPr>
      <w:r>
        <w:t>5.2. Bilinear Transformation and SOS</w:t>
      </w:r>
    </w:p>
    <w:p>
      <w:pPr>
        <w:ind w:firstLine="288"/>
        <w:jc w:val="both"/>
      </w:pPr>
      <w:r>
        <w:t>Transitioning the filter from the continuous analog domain (s-plane) to the discrete digital domain (z-plane) requires the Bilinear Transform. To prevent nonlinear frequency distortion at the cut-off threshold, critical frequency pre-warping is applied:</w:t>
      </w:r>
    </w:p>
    <w:p>
      <w:pPr>
        <w:spacing w:before="120" w:after="120"/>
        <w:jc w:val="center"/>
      </w:pPr>
      <w:r>
        <w:rPr>
          <w:rFonts w:ascii="Courier New" w:hAnsi="Courier New"/>
          <w:i/>
        </w:rPr>
        <w:t>ω_c,a = (2 / T_s) * tan(ω_c,d / 2)</w:t>
      </w:r>
    </w:p>
    <w:p>
      <w:pPr>
        <w:ind w:firstLine="288"/>
        <w:jc w:val="both"/>
      </w:pPr>
      <w:r>
        <w:t>Implementing a 4th-order transfer function directly on mobile ARM architectures often induces severe quantization errors due to floating-point precision limitations. Therefore, the master transfer function is mathematically factored into cascaded biquadratic filters:</w:t>
      </w:r>
    </w:p>
    <w:p>
      <w:pPr>
        <w:spacing w:before="120" w:after="120"/>
        <w:jc w:val="center"/>
      </w:pPr>
      <w:r>
        <w:rPr>
          <w:rFonts w:ascii="Courier New" w:hAnsi="Courier New"/>
          <w:i/>
        </w:rPr>
        <w:t>H(z) = Π [ (b_k0 + b_k1 z^-1 + b_k2 z^-2) / (1 - a_k1 z^-1 - a_k2 z^-2) ]</w:t>
      </w:r>
    </w:p>
    <w:p>
      <w:pPr>
        <w:ind w:firstLine="288"/>
        <w:jc w:val="both"/>
      </w:pPr>
      <w:r>
        <w:t>Each section executes its difference equation within a memory-mapped, natively compiled C++ bridge. This entirely bypasses the unpredictable latency introduced by Python's Global Interpreter Lock (GIL), ensuring deterministic, microsecond-level execution.</w:t>
      </w:r>
    </w:p>
    <w:p>
      <w:pPr>
        <w:pStyle w:val="Heading2"/>
        <w:keepNext/>
        <w:spacing w:before="360" w:after="120"/>
      </w:pPr>
      <w:r>
        <w:t>5.3. Quaternion-Based Tracking (V2.0 Solution)</w:t>
      </w:r>
    </w:p>
    <w:p>
      <w:pPr>
        <w:ind w:firstLine="288"/>
        <w:jc w:val="both"/>
      </w:pPr>
      <w:r>
        <w:t>If there was a single bottleneck that demanded months of rework, it was handling lateral chassis instability. A critical vulnerability identified after analyzing weeks of telemetry logs from our early v1.0 testing was the system's susceptibility to high-speed lateral oscillations (colloquially known as "tank-slappers" or speed wobbles). During these events, severe X-axis (lateral) and Y-axis (longitudinal) shear aggressively corrupted the vertical Z-axis anomaly detection, flooding the system with false hazard alerts and destroying user trust. Version 2.0 solves this outright via a 6-Degrees-of-Freedom (6-DOF) spatial tracking module. Utilizing quaternions to bypass the gimbal lock inherent in Euler angle representations, the system dynamically isolates the true gravity vector. Let the orientation of the sensor in the global frame be represented by the quaternion q = q_w + q_x i + q_y j + q_z k. The raw acceleration vector a_raw is rotated into the earth-fixed reference frame:</w:t>
      </w:r>
    </w:p>
    <w:p>
      <w:pPr>
        <w:spacing w:before="120" w:after="120"/>
        <w:jc w:val="center"/>
      </w:pPr>
      <w:r>
        <w:rPr>
          <w:rFonts w:ascii="Courier New" w:hAnsi="Courier New"/>
          <w:i/>
        </w:rPr>
        <w:t>a_earth = q ⊗ a_raw ⊗ q^-1</w:t>
      </w:r>
    </w:p>
    <w:p>
      <w:pPr>
        <w:ind w:firstLine="288"/>
        <w:jc w:val="both"/>
      </w:pPr>
      <w:r>
        <w:t>By continuously extracting a_z,earth while monitoring the comparative magnitudes of the lateral components (a_x,earth, a_y,earth), the framework mathematically distinguishes localized road surface defects from catastrophic loss-of-control events.</w:t>
      </w:r>
    </w:p>
    <w:p>
      <w:pPr>
        <w:pStyle w:val="Heading2"/>
        <w:keepNext/>
        <w:spacing w:before="360" w:after="120"/>
      </w:pPr>
      <w:r>
        <w:t>5.4. YOLOv8 Visual Inference</w:t>
      </w:r>
    </w:p>
    <w:p>
      <w:pPr>
        <w:ind w:firstLine="288"/>
        <w:jc w:val="both"/>
      </w:pPr>
      <w:r>
        <w:t>Visual inference operates asynchronously via YOLOv8n. Bounding box tensors are subjected to Non-Maximum Suppression (NMS) thresholding to isolate primary hazards. Because the visual pipeline operates at 30 Hz and the inertial pipeline at 100 Hz, continuous linear interpolation is applied to the filtered a_z,earth time series. This mathematically synthesizes the precise inertial value at the exact microsecond of each visual frame capture, ensuring zero artificial spatial-temporal lag prior to late-fusion integration.</w:t>
      </w:r>
    </w:p>
    <w:p>
      <w:pPr>
        <w:pStyle w:val="Heading2"/>
        <w:keepNext/>
        <w:spacing w:before="360" w:after="120"/>
      </w:pPr>
      <w:r>
        <w:t>5.5. Bayesian Late-Fusion Matrix</w:t>
      </w:r>
    </w:p>
    <w:p>
      <w:pPr>
        <w:ind w:firstLine="288"/>
        <w:jc w:val="both"/>
      </w:pPr>
      <w:r>
        <w:t>The synchronized visual confidence (C_vision) and the scaled IMU anomaly intensity (C_IMU) are merged using a pessimistic probability equation:</w:t>
      </w:r>
    </w:p>
    <w:p>
      <w:pPr>
        <w:spacing w:before="120" w:after="120"/>
        <w:jc w:val="center"/>
      </w:pPr>
      <w:r>
        <w:rPr>
          <w:rFonts w:ascii="Courier New" w:hAnsi="Courier New"/>
          <w:i/>
        </w:rPr>
        <w:t>P_hazard = 1 - (1 - w_v C_vision)(1 - w_i C_IMU)</w:t>
      </w:r>
    </w:p>
    <w:p>
      <w:pPr>
        <w:ind w:firstLine="288"/>
        <w:jc w:val="both"/>
      </w:pPr>
      <w:r>
        <w:t>The weights w_v and w_i are dynamically adjusted based on ambient lighting conditions (derived from camera ISO gain), heavily penalizing visual confidence during nighttime operations to prevent blind-spot failures.</w:t>
      </w:r>
    </w:p>
    <w:p>
      <w:pPr>
        <w:pStyle w:val="Heading1"/>
        <w:keepNext/>
        <w:spacing w:before="360" w:after="120"/>
      </w:pPr>
      <w:r>
        <w:t>6. Results &amp; Evaluation</w:t>
      </w:r>
    </w:p>
    <w:p>
      <w:pPr>
        <w:pStyle w:val="Heading2"/>
        <w:keepNext/>
        <w:spacing w:before="360" w:after="120"/>
      </w:pPr>
      <w:r>
        <w:t>6.1. Field Data Collection</w:t>
      </w:r>
    </w:p>
    <w:p>
      <w:pPr>
        <w:ind w:firstLine="288"/>
        <w:jc w:val="both"/>
      </w:pPr>
      <w:r>
        <w:t>Empirical data was collected over 4,200 continuous frames across the municipal sectors of Vaishali and the high-speed corridors of the Delhi-Meerut Expressway. This dataset inherently included highly occluded traffic patterns, pervasive dust particulate interference, and varied tarmac degradation.</w:t>
      </w:r>
    </w:p>
    <w:p>
      <w:pPr>
        <w:pStyle w:val="Heading2"/>
        <w:keepNext/>
        <w:spacing w:before="360" w:after="120"/>
      </w:pPr>
      <w:r>
        <w:t>6.2. Ablation Study and Latency Profiling</w:t>
      </w:r>
    </w:p>
    <w:p>
      <w:pPr>
        <w:ind w:firstLine="288"/>
        <w:jc w:val="both"/>
      </w:pPr>
      <w:r>
        <w:t>The system was evaluated against two isolated baselines: Vision-Only and IMU-Only. The table below outlines the system performance metrics across 4,200 frames.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Config</w:t>
            </w:r>
          </w:p>
        </w:tc>
        <w:tc>
          <w:tcPr>
            <w:tcW w:type="dxa" w:w="2520"/>
          </w:tcPr>
          <w:p>
            <w:r>
              <w:rPr>
                <w:rFonts w:ascii="Times New Roman" w:hAnsi="Times New Roman"/>
                <w:b/>
                <w:sz w:val="18"/>
              </w:rPr>
              <w:t>Prec.</w:t>
            </w:r>
          </w:p>
        </w:tc>
        <w:tc>
          <w:tcPr>
            <w:tcW w:type="dxa" w:w="2520"/>
          </w:tcPr>
          <w:p>
            <w:r>
              <w:rPr>
                <w:rFonts w:ascii="Times New Roman" w:hAnsi="Times New Roman"/>
                <w:b/>
                <w:sz w:val="18"/>
              </w:rPr>
              <w:t>Recall</w:t>
            </w:r>
          </w:p>
        </w:tc>
        <w:tc>
          <w:tcPr>
            <w:tcW w:type="dxa" w:w="2520"/>
          </w:tcPr>
          <w:p>
            <w:r>
              <w:rPr>
                <w:rFonts w:ascii="Times New Roman" w:hAnsi="Times New Roman"/>
                <w:b/>
                <w:sz w:val="18"/>
              </w:rPr>
              <w:t>F1</w:t>
            </w:r>
          </w:p>
        </w:tc>
      </w:tr>
      <w:tr>
        <w:tc>
          <w:tcPr>
            <w:tcW w:type="dxa" w:w="2520"/>
          </w:tcPr>
          <w:p>
            <w:r>
              <w:rPr>
                <w:rFonts w:ascii="Times New Roman" w:hAnsi="Times New Roman"/>
                <w:sz w:val="18"/>
              </w:rPr>
              <w:t>Vision (YOLO)</w:t>
            </w:r>
          </w:p>
        </w:tc>
        <w:tc>
          <w:tcPr>
            <w:tcW w:type="dxa" w:w="2520"/>
          </w:tcPr>
          <w:p>
            <w:r>
              <w:rPr>
                <w:rFonts w:ascii="Times New Roman" w:hAnsi="Times New Roman"/>
                <w:sz w:val="18"/>
              </w:rPr>
              <w:t>0.73</w:t>
            </w:r>
          </w:p>
        </w:tc>
        <w:tc>
          <w:tcPr>
            <w:tcW w:type="dxa" w:w="2520"/>
          </w:tcPr>
          <w:p>
            <w:r>
              <w:rPr>
                <w:rFonts w:ascii="Times New Roman" w:hAnsi="Times New Roman"/>
                <w:sz w:val="18"/>
              </w:rPr>
              <w:t>0.81</w:t>
            </w:r>
          </w:p>
        </w:tc>
        <w:tc>
          <w:tcPr>
            <w:tcW w:type="dxa" w:w="2520"/>
          </w:tcPr>
          <w:p>
            <w:r>
              <w:rPr>
                <w:rFonts w:ascii="Times New Roman" w:hAnsi="Times New Roman"/>
                <w:sz w:val="18"/>
              </w:rPr>
              <w:t>0.77</w:t>
            </w:r>
          </w:p>
        </w:tc>
      </w:tr>
      <w:tr>
        <w:tc>
          <w:tcPr>
            <w:tcW w:type="dxa" w:w="2520"/>
          </w:tcPr>
          <w:p>
            <w:r>
              <w:rPr>
                <w:rFonts w:ascii="Times New Roman" w:hAnsi="Times New Roman"/>
                <w:sz w:val="18"/>
              </w:rPr>
              <w:t>IMU (Filtered)</w:t>
            </w:r>
          </w:p>
        </w:tc>
        <w:tc>
          <w:tcPr>
            <w:tcW w:type="dxa" w:w="2520"/>
          </w:tcPr>
          <w:p>
            <w:r>
              <w:rPr>
                <w:rFonts w:ascii="Times New Roman" w:hAnsi="Times New Roman"/>
                <w:sz w:val="18"/>
              </w:rPr>
              <w:t>0.61</w:t>
            </w:r>
          </w:p>
        </w:tc>
        <w:tc>
          <w:tcPr>
            <w:tcW w:type="dxa" w:w="2520"/>
          </w:tcPr>
          <w:p>
            <w:r>
              <w:rPr>
                <w:rFonts w:ascii="Times New Roman" w:hAnsi="Times New Roman"/>
                <w:sz w:val="18"/>
              </w:rPr>
              <w:t>0.88</w:t>
            </w:r>
          </w:p>
        </w:tc>
        <w:tc>
          <w:tcPr>
            <w:tcW w:type="dxa" w:w="2520"/>
          </w:tcPr>
          <w:p>
            <w:r>
              <w:rPr>
                <w:rFonts w:ascii="Times New Roman" w:hAnsi="Times New Roman"/>
                <w:sz w:val="18"/>
              </w:rPr>
              <w:t>0.72</w:t>
            </w:r>
          </w:p>
        </w:tc>
      </w:tr>
      <w:tr>
        <w:tc>
          <w:tcPr>
            <w:tcW w:type="dxa" w:w="2520"/>
          </w:tcPr>
          <w:p>
            <w:r>
              <w:rPr>
                <w:rFonts w:ascii="Times New Roman" w:hAnsi="Times New Roman"/>
                <w:sz w:val="18"/>
              </w:rPr>
              <w:t>FusionNet V2.0</w:t>
            </w:r>
          </w:p>
        </w:tc>
        <w:tc>
          <w:tcPr>
            <w:tcW w:type="dxa" w:w="2520"/>
          </w:tcPr>
          <w:p>
            <w:r>
              <w:rPr>
                <w:rFonts w:ascii="Times New Roman" w:hAnsi="Times New Roman"/>
                <w:sz w:val="18"/>
              </w:rPr>
              <w:t>0.93</w:t>
            </w:r>
          </w:p>
        </w:tc>
        <w:tc>
          <w:tcPr>
            <w:tcW w:type="dxa" w:w="2520"/>
          </w:tcPr>
          <w:p>
            <w:r>
              <w:rPr>
                <w:rFonts w:ascii="Times New Roman" w:hAnsi="Times New Roman"/>
                <w:sz w:val="18"/>
              </w:rPr>
              <w:t>0.89</w:t>
            </w:r>
          </w:p>
        </w:tc>
        <w:tc>
          <w:tcPr>
            <w:tcW w:type="dxa" w:w="2520"/>
          </w:tcPr>
          <w:p>
            <w:r>
              <w:rPr>
                <w:rFonts w:ascii="Times New Roman" w:hAnsi="Times New Roman"/>
                <w:sz w:val="18"/>
              </w:rPr>
              <w:t>0.91</w:t>
            </w:r>
          </w:p>
        </w:tc>
      </w:tr>
    </w:tbl>
    <w:p/>
    <w:p>
      <w:pPr>
        <w:ind w:firstLine="288"/>
        <w:jc w:val="both"/>
      </w:pPr>
      <w:r>
        <w:t>The V2.0 architecture, bolstered by the quaternion tracking matrix, effectively eliminated false positives during heavy lateral cornering and high-RPM acceleration. Furthermore, profiling the computational graph on the ARM processor revealed an aggregate algorithmic latency of just ~21.4 ms, falling well below the 33.3 ms threshold required to operate efficiently between 30 FPS camera captures.</w:t>
      </w:r>
    </w:p>
    <w:p>
      <w:pPr>
        <w:pStyle w:val="Heading1"/>
        <w:keepNext/>
        <w:spacing w:before="360" w:after="120"/>
      </w:pPr>
      <w:r>
        <w:t>7. Conclusion</w:t>
      </w:r>
    </w:p>
    <w:p>
      <w:pPr>
        <w:ind w:firstLine="288"/>
        <w:jc w:val="both"/>
      </w:pPr>
      <w:r>
        <w:t>The deployment of advanced, safety-critical multi-modal perception does not necessitate the integration of premium, high-cost sensor arrays typically reserved for autonomous four-wheeled vehicles. FusionNet demonstrates that by leveraging deterministically compiled C++ signal processing, pre-warped Butterworth filtering, and quaternion-based spatial tracking alongside optimized neural visual inference, commercial edge hardware can interpret complex spatial geometry and violent physical impacts simultaneously. By achieving an F1-Score of 0.91 on chaotic, degraded infrastructure, this framework provides a highly viable blueprint for democratizing rider assistance systems across the developing world. Future iterations will focus on translating isolated deterministic inferences into distributed, swarm-intelligence hazard maps for fleet-wide real-time routing.</w:t>
      </w:r>
    </w:p>
    <w:p>
      <w:pPr>
        <w:pStyle w:val="Heading1"/>
        <w:keepNext/>
        <w:spacing w:before="360" w:after="120"/>
      </w:pPr>
      <w:r>
        <w:t>8. References</w:t>
      </w:r>
    </w:p>
    <w:p>
      <w:pPr>
        <w:jc w:val="both"/>
      </w:pPr>
      <w:r>
        <w:rPr>
          <w:rFonts w:ascii="Times New Roman" w:hAnsi="Times New Roman"/>
          <w:sz w:val="18"/>
        </w:rPr>
        <w:t>[1] Ministry of Road Transport and Highways (MoRTH), "Road Accidents in India 2024," Government of India, 2025.</w:t>
      </w:r>
    </w:p>
    <w:p>
      <w:pPr>
        <w:jc w:val="both"/>
      </w:pPr>
      <w:r>
        <w:rPr>
          <w:rFonts w:ascii="Times New Roman" w:hAnsi="Times New Roman"/>
          <w:sz w:val="18"/>
        </w:rPr>
        <w:t>[2] Integrated Road Accident Database (iRAD), "Statewise Fatality Metrics: UP," May 2025.</w:t>
      </w:r>
    </w:p>
    <w:p>
      <w:pPr>
        <w:jc w:val="both"/>
      </w:pPr>
      <w:r>
        <w:rPr>
          <w:rFonts w:ascii="Times New Roman" w:hAnsi="Times New Roman"/>
          <w:sz w:val="18"/>
        </w:rPr>
        <w:t>[3] Ghaziabad Traffic Police Dept., "Annual Collision Report," Ghaziabad, UP, 2025.</w:t>
      </w:r>
    </w:p>
    <w:p>
      <w:pPr>
        <w:jc w:val="both"/>
      </w:pPr>
      <w:r>
        <w:rPr>
          <w:rFonts w:ascii="Times New Roman" w:hAnsi="Times New Roman"/>
          <w:sz w:val="18"/>
        </w:rPr>
        <w:t>[4] NCRB, "Accidental Deaths &amp; Suicides in India (ADSI) 2020-2024."</w:t>
      </w:r>
    </w:p>
    <w:p>
      <w:pPr>
        <w:jc w:val="both"/>
      </w:pPr>
      <w:r>
        <w:rPr>
          <w:rFonts w:ascii="Times New Roman" w:hAnsi="Times New Roman"/>
          <w:sz w:val="18"/>
        </w:rPr>
        <w:t>[5] A. Sharma and P. Kumar, "Two-Wheeler Density Forecasting," J. Transp. Eng., 2024.</w:t>
      </w:r>
    </w:p>
    <w:p>
      <w:pPr>
        <w:jc w:val="both"/>
      </w:pPr>
      <w:r>
        <w:rPr>
          <w:rFonts w:ascii="Times New Roman" w:hAnsi="Times New Roman"/>
          <w:sz w:val="18"/>
        </w:rPr>
        <w:t>[6] R. Mehta et al., "Limitations of Anchor-Free Object Detection," IEEE Trans. Intell. Transp. Syst., 2024.</w:t>
      </w:r>
    </w:p>
    <w:p>
      <w:pPr>
        <w:jc w:val="both"/>
      </w:pPr>
      <w:r>
        <w:rPr>
          <w:rFonts w:ascii="Times New Roman" w:hAnsi="Times New Roman"/>
          <w:sz w:val="18"/>
        </w:rPr>
        <w:t>[7] S. Verma, "Modal Frequency Response in Single-Cylinder ICE," Int. J. Mech. Eng., 2023.</w:t>
      </w:r>
    </w:p>
    <w:p>
      <w:pPr>
        <w:jc w:val="both"/>
      </w:pPr>
      <w:r>
        <w:rPr>
          <w:rFonts w:ascii="Times New Roman" w:hAnsi="Times New Roman"/>
          <w:sz w:val="18"/>
        </w:rPr>
        <w:t>[8] G. Jocher et al., "YOLO by Ultralytics," 2023.</w:t>
      </w:r>
    </w:p>
    <w:p>
      <w:pPr>
        <w:jc w:val="both"/>
      </w:pPr>
      <w:r>
        <w:rPr>
          <w:rFonts w:ascii="Times New Roman" w:hAnsi="Times New Roman"/>
          <w:sz w:val="18"/>
        </w:rPr>
        <w:t>[9] K. Chen and Y. Lin, "Edge-AI Vision Systems," IEEE Internet of Things J., 2023.</w:t>
      </w:r>
    </w:p>
    <w:p>
      <w:pPr>
        <w:jc w:val="both"/>
      </w:pPr>
      <w:r>
        <w:rPr>
          <w:rFonts w:ascii="Times New Roman" w:hAnsi="Times New Roman"/>
          <w:sz w:val="18"/>
        </w:rPr>
        <w:t>[10] D. Singh, "Vibration Isolation in Retro-Classic Motorcycles," Veh. Syst. Dyn., 2023.</w:t>
      </w:r>
    </w:p>
    <w:p>
      <w:pPr>
        <w:jc w:val="both"/>
      </w:pPr>
      <w:r>
        <w:rPr>
          <w:rFonts w:ascii="Times New Roman" w:hAnsi="Times New Roman"/>
          <w:sz w:val="18"/>
        </w:rPr>
        <w:t>[11] L. Wang, "Late-Fusion Probabilistic Aggregation," IEEE Trans. Robot., 2024.</w:t>
      </w:r>
    </w:p>
    <w:sectPr w:rsidR="00FC693F" w:rsidRPr="0006063C" w:rsidSect="00034616">
      <w:pgSz w:w="12240" w:h="15840"/>
      <w:pgMar w:top="1440" w:right="1080" w:bottom="144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FusionNet v2.0.0 | Medhansh Kabadwal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