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Wind Speed Forecasting Result Report</w:t>
      </w:r>
    </w:p>
    <w:p>
      <w:pPr>
        <w:jc w:val="center"/>
      </w:pPr>
      <w:r>
        <w:rPr>
          <w:sz w:val="22"/>
        </w:rPr>
        <w:t>Season-wise Model Comparison, Selection, and Final Test Performance</w:t>
      </w:r>
    </w:p>
    <w:p/>
    <w:p>
      <w:pPr>
        <w:pStyle w:val="Heading1"/>
      </w:pPr>
      <w:r>
        <w:t>1. Objective</w:t>
      </w:r>
    </w:p>
    <w:p>
      <w:pPr>
        <w:spacing w:after="120"/>
      </w:pPr>
      <w:r>
        <w:t>The objective of this project is to forecast hourly wind speed using historical weather data. The target variable is WS, which represents wind speed. The forecasting task is a regression/time-series problem, so the results are evaluated using forecasting metrics such as MAE, RMSE, MAPE, and MedAE. There are no confusion matrices because this is not a classification problem.</w:t>
      </w:r>
    </w:p>
    <w:p>
      <w:pPr>
        <w:pStyle w:val="Heading1"/>
      </w:pPr>
      <w:r>
        <w:t>2. Pipeline Summary</w:t>
      </w:r>
    </w:p>
    <w:p>
      <w:pPr>
        <w:pStyle w:val="ListBullet"/>
      </w:pPr>
      <w:r>
        <w:t>Load hourly weather data and create a clean datetime index.</w:t>
      </w:r>
    </w:p>
    <w:p>
      <w:pPr>
        <w:pStyle w:val="ListBullet"/>
      </w:pPr>
      <w:r>
        <w:t>Fill missing values using forward and backward filling.</w:t>
      </w:r>
    </w:p>
    <w:p>
      <w:pPr>
        <w:pStyle w:val="ListBullet"/>
      </w:pPr>
      <w:r>
        <w:t>Create cyclical time and wind-direction features.</w:t>
      </w:r>
    </w:p>
    <w:p>
      <w:pPr>
        <w:pStyle w:val="ListBullet"/>
      </w:pPr>
      <w:r>
        <w:t>Split the data into four seasons: spring, summer, autumn, and winter.</w:t>
      </w:r>
    </w:p>
    <w:p>
      <w:pPr>
        <w:pStyle w:val="ListBullet"/>
      </w:pPr>
      <w:r>
        <w:t>Split each season chronologically into train, validation, and test sets.</w:t>
      </w:r>
    </w:p>
    <w:p>
      <w:pPr>
        <w:pStyle w:val="ListBullet"/>
      </w:pPr>
      <w:r>
        <w:t>Tune candidate models using only training data.</w:t>
      </w:r>
    </w:p>
    <w:p>
      <w:pPr>
        <w:pStyle w:val="ListBullet"/>
      </w:pPr>
      <w:r>
        <w:t>Compare all candidate models on validation data.</w:t>
      </w:r>
    </w:p>
    <w:p>
      <w:pPr>
        <w:pStyle w:val="ListBullet"/>
      </w:pPr>
      <w:r>
        <w:t>Select the best model per season using the lowest mean validation RMSE.</w:t>
      </w:r>
    </w:p>
    <w:p>
      <w:pPr>
        <w:pStyle w:val="ListBullet"/>
      </w:pPr>
      <w:r>
        <w:t>Evaluate the selected model on the unseen test set.</w:t>
      </w:r>
    </w:p>
    <w:p>
      <w:pPr>
        <w:pStyle w:val="ListBullet"/>
      </w:pPr>
      <w:r>
        <w:t>Generate probabilistic intervals, explainability outputs, saved models, and final 24-hour forecasts.</w:t>
      </w:r>
    </w:p>
    <w:p>
      <w:pPr>
        <w:pStyle w:val="Heading1"/>
      </w:pPr>
      <w:r>
        <w:t>3. Data Split</w:t>
      </w:r>
    </w:p>
    <w:p>
      <w:pPr>
        <w:spacing w:after="120"/>
      </w:pPr>
      <w:r>
        <w:t>Each season was split chronologically to avoid future data leaking into training. The split ratio was 70% training, 15% validation, and 15%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Pr>
                <w:b/>
                <w:sz w:val="18"/>
              </w:rPr>
              <w:t>Season</w:t>
            </w:r>
          </w:p>
        </w:tc>
        <w:tc>
          <w:tcPr>
            <w:tcW w:type="dxa" w:w="2520"/>
            <w:vAlign w:val="center"/>
            <w:shd w:fill="D9EAF7"/>
          </w:tcPr>
          <w:p>
            <w:pPr>
              <w:spacing w:after="0"/>
            </w:pPr>
            <w:r>
              <w:rPr>
                <w:b/>
                <w:sz w:val="18"/>
              </w:rPr>
              <w:t>Train</w:t>
            </w:r>
          </w:p>
        </w:tc>
        <w:tc>
          <w:tcPr>
            <w:tcW w:type="dxa" w:w="2520"/>
            <w:vAlign w:val="center"/>
            <w:shd w:fill="D9EAF7"/>
          </w:tcPr>
          <w:p>
            <w:pPr>
              <w:spacing w:after="0"/>
            </w:pPr>
            <w:r>
              <w:rPr>
                <w:b/>
                <w:sz w:val="18"/>
              </w:rPr>
              <w:t>Validation</w:t>
            </w:r>
          </w:p>
        </w:tc>
        <w:tc>
          <w:tcPr>
            <w:tcW w:type="dxa" w:w="2520"/>
            <w:vAlign w:val="center"/>
            <w:shd w:fill="D9EAF7"/>
          </w:tcPr>
          <w:p>
            <w:pPr>
              <w:spacing w:after="0"/>
            </w:pPr>
            <w:r>
              <w:rPr>
                <w:b/>
                <w:sz w:val="18"/>
              </w:rPr>
              <w:t>Test</w:t>
            </w:r>
          </w:p>
        </w:tc>
      </w:tr>
      <w:tr>
        <w:tc>
          <w:tcPr>
            <w:tcW w:type="dxa" w:w="2520"/>
            <w:vAlign w:val="center"/>
          </w:tcPr>
          <w:p>
            <w:pPr>
              <w:spacing w:after="0"/>
            </w:pPr>
            <w:r>
              <w:rPr>
                <w:sz w:val="18"/>
              </w:rPr>
              <w:t>Spring</w:t>
            </w:r>
          </w:p>
        </w:tc>
        <w:tc>
          <w:tcPr>
            <w:tcW w:type="dxa" w:w="2520"/>
            <w:vAlign w:val="center"/>
          </w:tcPr>
          <w:p>
            <w:pPr>
              <w:spacing w:after="0"/>
            </w:pPr>
            <w:r>
              <w:rPr>
                <w:sz w:val="18"/>
              </w:rPr>
              <w:t>1481</w:t>
            </w:r>
          </w:p>
        </w:tc>
        <w:tc>
          <w:tcPr>
            <w:tcW w:type="dxa" w:w="2520"/>
            <w:vAlign w:val="center"/>
          </w:tcPr>
          <w:p>
            <w:pPr>
              <w:spacing w:after="0"/>
            </w:pPr>
            <w:r>
              <w:rPr>
                <w:sz w:val="18"/>
              </w:rPr>
              <w:t>317</w:t>
            </w:r>
          </w:p>
        </w:tc>
        <w:tc>
          <w:tcPr>
            <w:tcW w:type="dxa" w:w="2520"/>
            <w:vAlign w:val="center"/>
          </w:tcPr>
          <w:p>
            <w:pPr>
              <w:spacing w:after="0"/>
            </w:pPr>
            <w:r>
              <w:rPr>
                <w:sz w:val="18"/>
              </w:rPr>
              <w:t>318</w:t>
            </w:r>
          </w:p>
        </w:tc>
      </w:tr>
      <w:tr>
        <w:tc>
          <w:tcPr>
            <w:tcW w:type="dxa" w:w="2520"/>
            <w:vAlign w:val="center"/>
          </w:tcPr>
          <w:p>
            <w:pPr>
              <w:spacing w:after="0"/>
            </w:pPr>
            <w:r>
              <w:rPr>
                <w:sz w:val="18"/>
              </w:rPr>
              <w:t>Summer</w:t>
            </w:r>
          </w:p>
        </w:tc>
        <w:tc>
          <w:tcPr>
            <w:tcW w:type="dxa" w:w="2520"/>
            <w:vAlign w:val="center"/>
          </w:tcPr>
          <w:p>
            <w:pPr>
              <w:spacing w:after="0"/>
            </w:pPr>
            <w:r>
              <w:rPr>
                <w:sz w:val="18"/>
              </w:rPr>
              <w:t>1481</w:t>
            </w:r>
          </w:p>
        </w:tc>
        <w:tc>
          <w:tcPr>
            <w:tcW w:type="dxa" w:w="2520"/>
            <w:vAlign w:val="center"/>
          </w:tcPr>
          <w:p>
            <w:pPr>
              <w:spacing w:after="0"/>
            </w:pPr>
            <w:r>
              <w:rPr>
                <w:sz w:val="18"/>
              </w:rPr>
              <w:t>317</w:t>
            </w:r>
          </w:p>
        </w:tc>
        <w:tc>
          <w:tcPr>
            <w:tcW w:type="dxa" w:w="2520"/>
            <w:vAlign w:val="center"/>
          </w:tcPr>
          <w:p>
            <w:pPr>
              <w:spacing w:after="0"/>
            </w:pPr>
            <w:r>
              <w:rPr>
                <w:sz w:val="18"/>
              </w:rPr>
              <w:t>318</w:t>
            </w:r>
          </w:p>
        </w:tc>
      </w:tr>
      <w:tr>
        <w:tc>
          <w:tcPr>
            <w:tcW w:type="dxa" w:w="2520"/>
            <w:vAlign w:val="center"/>
          </w:tcPr>
          <w:p>
            <w:pPr>
              <w:spacing w:after="0"/>
            </w:pPr>
            <w:r>
              <w:rPr>
                <w:sz w:val="18"/>
              </w:rPr>
              <w:t>Autumn</w:t>
            </w:r>
          </w:p>
        </w:tc>
        <w:tc>
          <w:tcPr>
            <w:tcW w:type="dxa" w:w="2520"/>
            <w:vAlign w:val="center"/>
          </w:tcPr>
          <w:p>
            <w:pPr>
              <w:spacing w:after="0"/>
            </w:pPr>
            <w:r>
              <w:rPr>
                <w:sz w:val="18"/>
              </w:rPr>
              <w:t>1465</w:t>
            </w:r>
          </w:p>
        </w:tc>
        <w:tc>
          <w:tcPr>
            <w:tcW w:type="dxa" w:w="2520"/>
            <w:vAlign w:val="center"/>
          </w:tcPr>
          <w:p>
            <w:pPr>
              <w:spacing w:after="0"/>
            </w:pPr>
            <w:r>
              <w:rPr>
                <w:sz w:val="18"/>
              </w:rPr>
              <w:t>314</w:t>
            </w:r>
          </w:p>
        </w:tc>
        <w:tc>
          <w:tcPr>
            <w:tcW w:type="dxa" w:w="2520"/>
            <w:vAlign w:val="center"/>
          </w:tcPr>
          <w:p>
            <w:pPr>
              <w:spacing w:after="0"/>
            </w:pPr>
            <w:r>
              <w:rPr>
                <w:sz w:val="18"/>
              </w:rPr>
              <w:t>314</w:t>
            </w:r>
          </w:p>
        </w:tc>
      </w:tr>
      <w:tr>
        <w:tc>
          <w:tcPr>
            <w:tcW w:type="dxa" w:w="2520"/>
            <w:vAlign w:val="center"/>
          </w:tcPr>
          <w:p>
            <w:pPr>
              <w:spacing w:after="0"/>
            </w:pPr>
            <w:r>
              <w:rPr>
                <w:sz w:val="18"/>
              </w:rPr>
              <w:t>Winter</w:t>
            </w:r>
          </w:p>
        </w:tc>
        <w:tc>
          <w:tcPr>
            <w:tcW w:type="dxa" w:w="2520"/>
            <w:vAlign w:val="center"/>
          </w:tcPr>
          <w:p>
            <w:pPr>
              <w:spacing w:after="0"/>
            </w:pPr>
            <w:r>
              <w:rPr>
                <w:sz w:val="18"/>
              </w:rPr>
              <w:t>1465</w:t>
            </w:r>
          </w:p>
        </w:tc>
        <w:tc>
          <w:tcPr>
            <w:tcW w:type="dxa" w:w="2520"/>
            <w:vAlign w:val="center"/>
          </w:tcPr>
          <w:p>
            <w:pPr>
              <w:spacing w:after="0"/>
            </w:pPr>
            <w:r>
              <w:rPr>
                <w:sz w:val="18"/>
              </w:rPr>
              <w:t>314</w:t>
            </w:r>
          </w:p>
        </w:tc>
        <w:tc>
          <w:tcPr>
            <w:tcW w:type="dxa" w:w="2520"/>
            <w:vAlign w:val="center"/>
          </w:tcPr>
          <w:p>
            <w:pPr>
              <w:spacing w:after="0"/>
            </w:pPr>
            <w:r>
              <w:rPr>
                <w:sz w:val="18"/>
              </w:rPr>
              <w:t>314</w:t>
            </w:r>
          </w:p>
        </w:tc>
      </w:tr>
    </w:tbl>
    <w:p/>
    <w:p>
      <w:pPr>
        <w:pStyle w:val="Heading1"/>
      </w:pPr>
      <w:r>
        <w:t>4. Models Evaluated</w:t>
      </w:r>
    </w:p>
    <w:p>
      <w:pPr>
        <w:spacing w:after="120"/>
      </w:pPr>
      <w:r>
        <w:t>The following models were evaluated. Model D is mainly used for prediction intervals rather than ordinary point-forecast comparison.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t>Model</w:t>
            </w:r>
          </w:p>
        </w:tc>
        <w:tc>
          <w:tcPr>
            <w:tcW w:type="dxa" w:w="5040"/>
            <w:vAlign w:val="center"/>
            <w:shd w:fill="D9EAF7"/>
          </w:tcPr>
          <w:p>
            <w:pPr>
              <w:spacing w:after="0"/>
            </w:pPr>
            <w:r>
              <w:rPr>
                <w:b/>
                <w:sz w:val="18"/>
              </w:rPr>
              <w:t>Description</w:t>
            </w:r>
          </w:p>
        </w:tc>
      </w:tr>
      <w:tr>
        <w:tc>
          <w:tcPr>
            <w:tcW w:type="dxa" w:w="5040"/>
            <w:vAlign w:val="center"/>
          </w:tcPr>
          <w:p>
            <w:pPr>
              <w:spacing w:after="0"/>
            </w:pPr>
            <w:r>
              <w:rPr>
                <w:sz w:val="18"/>
              </w:rPr>
              <w:t>A</w:t>
            </w:r>
          </w:p>
        </w:tc>
        <w:tc>
          <w:tcPr>
            <w:tcW w:type="dxa" w:w="5040"/>
            <w:vAlign w:val="center"/>
          </w:tcPr>
          <w:p>
            <w:pPr>
              <w:spacing w:after="0"/>
            </w:pPr>
            <w:r>
              <w:rPr>
                <w:sz w:val="18"/>
              </w:rPr>
              <w:t>Recursive LightGBM</w:t>
            </w:r>
          </w:p>
        </w:tc>
      </w:tr>
      <w:tr>
        <w:tc>
          <w:tcPr>
            <w:tcW w:type="dxa" w:w="5040"/>
            <w:vAlign w:val="center"/>
          </w:tcPr>
          <w:p>
            <w:pPr>
              <w:spacing w:after="0"/>
            </w:pPr>
            <w:r>
              <w:rPr>
                <w:sz w:val="18"/>
              </w:rPr>
              <w:t>B</w:t>
            </w:r>
          </w:p>
        </w:tc>
        <w:tc>
          <w:tcPr>
            <w:tcW w:type="dxa" w:w="5040"/>
            <w:vAlign w:val="center"/>
          </w:tcPr>
          <w:p>
            <w:pPr>
              <w:spacing w:after="0"/>
            </w:pPr>
            <w:r>
              <w:rPr>
                <w:sz w:val="18"/>
              </w:rPr>
              <w:t>Direct LightGBM</w:t>
            </w:r>
          </w:p>
        </w:tc>
      </w:tr>
      <w:tr>
        <w:tc>
          <w:tcPr>
            <w:tcW w:type="dxa" w:w="5040"/>
            <w:vAlign w:val="center"/>
          </w:tcPr>
          <w:p>
            <w:pPr>
              <w:spacing w:after="0"/>
            </w:pPr>
            <w:r>
              <w:rPr>
                <w:sz w:val="18"/>
              </w:rPr>
              <w:t>C</w:t>
            </w:r>
          </w:p>
        </w:tc>
        <w:tc>
          <w:tcPr>
            <w:tcW w:type="dxa" w:w="5040"/>
            <w:vAlign w:val="center"/>
          </w:tcPr>
          <w:p>
            <w:pPr>
              <w:spacing w:after="0"/>
            </w:pPr>
            <w:r>
              <w:rPr>
                <w:sz w:val="18"/>
              </w:rPr>
              <w:t>Baseline equivalent-date model</w:t>
            </w:r>
          </w:p>
        </w:tc>
      </w:tr>
      <w:tr>
        <w:tc>
          <w:tcPr>
            <w:tcW w:type="dxa" w:w="5040"/>
            <w:vAlign w:val="center"/>
          </w:tcPr>
          <w:p>
            <w:pPr>
              <w:spacing w:after="0"/>
            </w:pPr>
            <w:r>
              <w:rPr>
                <w:sz w:val="18"/>
              </w:rPr>
              <w:t>D</w:t>
            </w:r>
          </w:p>
        </w:tc>
        <w:tc>
          <w:tcPr>
            <w:tcW w:type="dxa" w:w="5040"/>
            <w:vAlign w:val="center"/>
          </w:tcPr>
          <w:p>
            <w:pPr>
              <w:spacing w:after="0"/>
            </w:pPr>
            <w:r>
              <w:rPr>
                <w:sz w:val="18"/>
              </w:rPr>
              <w:t>Quantile LightGBM interval model</w:t>
            </w:r>
          </w:p>
        </w:tc>
      </w:tr>
      <w:tr>
        <w:tc>
          <w:tcPr>
            <w:tcW w:type="dxa" w:w="5040"/>
            <w:vAlign w:val="center"/>
          </w:tcPr>
          <w:p>
            <w:pPr>
              <w:spacing w:after="0"/>
            </w:pPr>
            <w:r>
              <w:rPr>
                <w:sz w:val="18"/>
              </w:rPr>
              <w:t>E</w:t>
            </w:r>
          </w:p>
        </w:tc>
        <w:tc>
          <w:tcPr>
            <w:tcW w:type="dxa" w:w="5040"/>
            <w:vAlign w:val="center"/>
          </w:tcPr>
          <w:p>
            <w:pPr>
              <w:spacing w:after="0"/>
            </w:pPr>
            <w:r>
              <w:rPr>
                <w:sz w:val="18"/>
              </w:rPr>
              <w:t>Recursive XGBoost</w:t>
            </w:r>
          </w:p>
        </w:tc>
      </w:tr>
      <w:tr>
        <w:tc>
          <w:tcPr>
            <w:tcW w:type="dxa" w:w="5040"/>
            <w:vAlign w:val="center"/>
          </w:tcPr>
          <w:p>
            <w:pPr>
              <w:spacing w:after="0"/>
            </w:pPr>
            <w:r>
              <w:rPr>
                <w:sz w:val="18"/>
              </w:rPr>
              <w:t>F</w:t>
            </w:r>
          </w:p>
        </w:tc>
        <w:tc>
          <w:tcPr>
            <w:tcW w:type="dxa" w:w="5040"/>
            <w:vAlign w:val="center"/>
          </w:tcPr>
          <w:p>
            <w:pPr>
              <w:spacing w:after="0"/>
            </w:pPr>
            <w:r>
              <w:rPr>
                <w:sz w:val="18"/>
              </w:rPr>
              <w:t>Recursive Ridge</w:t>
            </w:r>
          </w:p>
        </w:tc>
      </w:tr>
      <w:tr>
        <w:tc>
          <w:tcPr>
            <w:tcW w:type="dxa" w:w="5040"/>
            <w:vAlign w:val="center"/>
          </w:tcPr>
          <w:p>
            <w:pPr>
              <w:spacing w:after="0"/>
            </w:pPr>
            <w:r>
              <w:rPr>
                <w:sz w:val="18"/>
              </w:rPr>
              <w:t>G</w:t>
            </w:r>
          </w:p>
        </w:tc>
        <w:tc>
          <w:tcPr>
            <w:tcW w:type="dxa" w:w="5040"/>
            <w:vAlign w:val="center"/>
          </w:tcPr>
          <w:p>
            <w:pPr>
              <w:spacing w:after="0"/>
            </w:pPr>
            <w:r>
              <w:rPr>
                <w:sz w:val="18"/>
              </w:rPr>
              <w:t>Recursive Random Forest</w:t>
            </w:r>
          </w:p>
        </w:tc>
      </w:tr>
      <w:tr>
        <w:tc>
          <w:tcPr>
            <w:tcW w:type="dxa" w:w="5040"/>
            <w:vAlign w:val="center"/>
          </w:tcPr>
          <w:p>
            <w:pPr>
              <w:spacing w:after="0"/>
            </w:pPr>
            <w:r>
              <w:rPr>
                <w:sz w:val="18"/>
              </w:rPr>
              <w:t>H</w:t>
            </w:r>
          </w:p>
        </w:tc>
        <w:tc>
          <w:tcPr>
            <w:tcW w:type="dxa" w:w="5040"/>
            <w:vAlign w:val="center"/>
          </w:tcPr>
          <w:p>
            <w:pPr>
              <w:spacing w:after="0"/>
            </w:pPr>
            <w:r>
              <w:rPr>
                <w:sz w:val="18"/>
              </w:rPr>
              <w:t>Stacking ensemble using A, E, and F</w:t>
            </w:r>
          </w:p>
        </w:tc>
      </w:tr>
    </w:tbl>
    <w:p/>
    <w:p>
      <w:pPr>
        <w:pStyle w:val="Heading1"/>
      </w:pPr>
      <w:r>
        <w:t>5. Model Selection Rule</w:t>
      </w:r>
    </w:p>
    <w:p>
      <w:pPr>
        <w:spacing w:after="120"/>
      </w:pPr>
      <w:r>
        <w:t>For each season, all candidate models were compared on the validation set. The model with the lowest average validation RMSE across horizons 1, 2, 3, and 24 was selected as the best model. The test set was not used for model selection; it was used only for final evaluation after the best model had already been selected.</w:t>
      </w:r>
    </w:p>
    <w:p>
      <w:pPr>
        <w:pStyle w:val="Heading1"/>
      </w:pPr>
      <w:r>
        <w:t>6. Best Model Per Season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Pr>
                <w:b/>
                <w:sz w:val="18"/>
              </w:rPr>
              <w:t>Season</w:t>
            </w:r>
          </w:p>
        </w:tc>
        <w:tc>
          <w:tcPr>
            <w:tcW w:type="dxa" w:w="2520"/>
            <w:vAlign w:val="center"/>
            <w:shd w:fill="D9EAF7"/>
          </w:tcPr>
          <w:p>
            <w:pPr>
              <w:spacing w:after="0"/>
            </w:pPr>
            <w:r>
              <w:rPr>
                <w:b/>
                <w:sz w:val="18"/>
              </w:rPr>
              <w:t>Best Model</w:t>
            </w:r>
          </w:p>
        </w:tc>
        <w:tc>
          <w:tcPr>
            <w:tcW w:type="dxa" w:w="2520"/>
            <w:vAlign w:val="center"/>
            <w:shd w:fill="D9EAF7"/>
          </w:tcPr>
          <w:p>
            <w:pPr>
              <w:spacing w:after="0"/>
            </w:pPr>
            <w:r>
              <w:rPr>
                <w:b/>
                <w:sz w:val="18"/>
              </w:rPr>
              <w:t>Model Name</w:t>
            </w:r>
          </w:p>
        </w:tc>
        <w:tc>
          <w:tcPr>
            <w:tcW w:type="dxa" w:w="2520"/>
            <w:vAlign w:val="center"/>
            <w:shd w:fill="D9EAF7"/>
          </w:tcPr>
          <w:p>
            <w:pPr>
              <w:spacing w:after="0"/>
            </w:pPr>
            <w:r>
              <w:rPr>
                <w:b/>
                <w:sz w:val="18"/>
              </w:rPr>
              <w:t>Validation RMSE</w:t>
            </w:r>
          </w:p>
        </w:tc>
      </w:tr>
      <w:tr>
        <w:tc>
          <w:tcPr>
            <w:tcW w:type="dxa" w:w="2520"/>
            <w:vAlign w:val="center"/>
          </w:tcPr>
          <w:p>
            <w:pPr>
              <w:spacing w:after="0"/>
            </w:pPr>
            <w:r>
              <w:rPr>
                <w:sz w:val="18"/>
              </w:rPr>
              <w:t>Spring</w:t>
            </w:r>
          </w:p>
        </w:tc>
        <w:tc>
          <w:tcPr>
            <w:tcW w:type="dxa" w:w="2520"/>
            <w:vAlign w:val="center"/>
          </w:tcPr>
          <w:p>
            <w:pPr>
              <w:spacing w:after="0"/>
            </w:pPr>
            <w:r>
              <w:rPr>
                <w:sz w:val="18"/>
              </w:rPr>
              <w:t>G</w:t>
            </w:r>
          </w:p>
        </w:tc>
        <w:tc>
          <w:tcPr>
            <w:tcW w:type="dxa" w:w="2520"/>
            <w:vAlign w:val="center"/>
          </w:tcPr>
          <w:p>
            <w:pPr>
              <w:spacing w:after="0"/>
            </w:pPr>
            <w:r>
              <w:rPr>
                <w:sz w:val="18"/>
              </w:rPr>
              <w:t>Recursive Random Forest</w:t>
            </w:r>
          </w:p>
        </w:tc>
        <w:tc>
          <w:tcPr>
            <w:tcW w:type="dxa" w:w="2520"/>
            <w:vAlign w:val="center"/>
          </w:tcPr>
          <w:p>
            <w:pPr>
              <w:spacing w:after="0"/>
            </w:pPr>
            <w:r>
              <w:rPr>
                <w:sz w:val="18"/>
              </w:rPr>
              <w:t>2.3289</w:t>
            </w:r>
          </w:p>
        </w:tc>
      </w:tr>
      <w:tr>
        <w:tc>
          <w:tcPr>
            <w:tcW w:type="dxa" w:w="2520"/>
            <w:vAlign w:val="center"/>
          </w:tcPr>
          <w:p>
            <w:pPr>
              <w:spacing w:after="0"/>
            </w:pPr>
            <w:r>
              <w:rPr>
                <w:sz w:val="18"/>
              </w:rPr>
              <w:t>Summer</w:t>
            </w:r>
          </w:p>
        </w:tc>
        <w:tc>
          <w:tcPr>
            <w:tcW w:type="dxa" w:w="2520"/>
            <w:vAlign w:val="center"/>
          </w:tcPr>
          <w:p>
            <w:pPr>
              <w:spacing w:after="0"/>
            </w:pPr>
            <w:r>
              <w:rPr>
                <w:sz w:val="18"/>
              </w:rPr>
              <w:t>B</w:t>
            </w:r>
          </w:p>
        </w:tc>
        <w:tc>
          <w:tcPr>
            <w:tcW w:type="dxa" w:w="2520"/>
            <w:vAlign w:val="center"/>
          </w:tcPr>
          <w:p>
            <w:pPr>
              <w:spacing w:after="0"/>
            </w:pPr>
            <w:r>
              <w:rPr>
                <w:sz w:val="18"/>
              </w:rPr>
              <w:t>Direct LightGBM</w:t>
            </w:r>
          </w:p>
        </w:tc>
        <w:tc>
          <w:tcPr>
            <w:tcW w:type="dxa" w:w="2520"/>
            <w:vAlign w:val="center"/>
          </w:tcPr>
          <w:p>
            <w:pPr>
              <w:spacing w:after="0"/>
            </w:pPr>
            <w:r>
              <w:rPr>
                <w:sz w:val="18"/>
              </w:rPr>
              <w:t>1.0502</w:t>
            </w:r>
          </w:p>
        </w:tc>
      </w:tr>
      <w:tr>
        <w:tc>
          <w:tcPr>
            <w:tcW w:type="dxa" w:w="2520"/>
            <w:vAlign w:val="center"/>
          </w:tcPr>
          <w:p>
            <w:pPr>
              <w:spacing w:after="0"/>
            </w:pPr>
            <w:r>
              <w:rPr>
                <w:sz w:val="18"/>
              </w:rPr>
              <w:t>Autumn</w:t>
            </w:r>
          </w:p>
        </w:tc>
        <w:tc>
          <w:tcPr>
            <w:tcW w:type="dxa" w:w="2520"/>
            <w:vAlign w:val="center"/>
          </w:tcPr>
          <w:p>
            <w:pPr>
              <w:spacing w:after="0"/>
            </w:pPr>
            <w:r>
              <w:rPr>
                <w:sz w:val="18"/>
              </w:rPr>
              <w:t>H</w:t>
            </w:r>
          </w:p>
        </w:tc>
        <w:tc>
          <w:tcPr>
            <w:tcW w:type="dxa" w:w="2520"/>
            <w:vAlign w:val="center"/>
          </w:tcPr>
          <w:p>
            <w:pPr>
              <w:spacing w:after="0"/>
            </w:pPr>
            <w:r>
              <w:rPr>
                <w:sz w:val="18"/>
              </w:rPr>
              <w:t>Stacking Ensemble</w:t>
            </w:r>
          </w:p>
        </w:tc>
        <w:tc>
          <w:tcPr>
            <w:tcW w:type="dxa" w:w="2520"/>
            <w:vAlign w:val="center"/>
          </w:tcPr>
          <w:p>
            <w:pPr>
              <w:spacing w:after="0"/>
            </w:pPr>
            <w:r>
              <w:rPr>
                <w:sz w:val="18"/>
              </w:rPr>
              <w:t>1.5358</w:t>
            </w:r>
          </w:p>
        </w:tc>
      </w:tr>
      <w:tr>
        <w:tc>
          <w:tcPr>
            <w:tcW w:type="dxa" w:w="2520"/>
            <w:vAlign w:val="center"/>
          </w:tcPr>
          <w:p>
            <w:pPr>
              <w:spacing w:after="0"/>
            </w:pPr>
            <w:r>
              <w:rPr>
                <w:sz w:val="18"/>
              </w:rPr>
              <w:t>Winter</w:t>
            </w:r>
          </w:p>
        </w:tc>
        <w:tc>
          <w:tcPr>
            <w:tcW w:type="dxa" w:w="2520"/>
            <w:vAlign w:val="center"/>
          </w:tcPr>
          <w:p>
            <w:pPr>
              <w:spacing w:after="0"/>
            </w:pPr>
            <w:r>
              <w:rPr>
                <w:sz w:val="18"/>
              </w:rPr>
              <w:t>H</w:t>
            </w:r>
          </w:p>
        </w:tc>
        <w:tc>
          <w:tcPr>
            <w:tcW w:type="dxa" w:w="2520"/>
            <w:vAlign w:val="center"/>
          </w:tcPr>
          <w:p>
            <w:pPr>
              <w:spacing w:after="0"/>
            </w:pPr>
            <w:r>
              <w:rPr>
                <w:sz w:val="18"/>
              </w:rPr>
              <w:t>Stacking Ensemble</w:t>
            </w:r>
          </w:p>
        </w:tc>
        <w:tc>
          <w:tcPr>
            <w:tcW w:type="dxa" w:w="2520"/>
            <w:vAlign w:val="center"/>
          </w:tcPr>
          <w:p>
            <w:pPr>
              <w:spacing w:after="0"/>
            </w:pPr>
            <w:r>
              <w:rPr>
                <w:sz w:val="18"/>
              </w:rPr>
              <w:t>1.6751</w:t>
            </w:r>
          </w:p>
        </w:tc>
      </w:tr>
    </w:tbl>
    <w:p/>
    <w:p>
      <w:pPr>
        <w:pStyle w:val="Heading1"/>
      </w:pPr>
      <w:r>
        <w:t>7. Validation Comparison Matrix</w:t>
      </w:r>
    </w:p>
    <w:p>
      <w:pPr>
        <w:spacing w:after="120"/>
      </w:pPr>
      <w:r>
        <w:t>The following tables show the mean validation RMSE ranking for all models in each season. Lower RMSE is better.</w:t>
      </w:r>
    </w:p>
    <w:p>
      <w:pPr>
        <w:pStyle w:val="Heading2"/>
      </w:pPr>
      <w:r>
        <w:t>Spring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Rank</w:t>
            </w:r>
          </w:p>
        </w:tc>
        <w:tc>
          <w:tcPr>
            <w:tcW w:type="dxa" w:w="3360"/>
            <w:vAlign w:val="center"/>
            <w:shd w:fill="D9EAF7"/>
          </w:tcPr>
          <w:p>
            <w:pPr>
              <w:spacing w:after="0"/>
            </w:pPr>
            <w:r>
              <w:rPr>
                <w:b/>
                <w:sz w:val="18"/>
              </w:rPr>
              <w:t>Model</w:t>
            </w:r>
          </w:p>
        </w:tc>
        <w:tc>
          <w:tcPr>
            <w:tcW w:type="dxa" w:w="3360"/>
            <w:vAlign w:val="center"/>
            <w:shd w:fill="D9EAF7"/>
          </w:tcPr>
          <w:p>
            <w:pPr>
              <w:spacing w:after="0"/>
            </w:pPr>
            <w:r>
              <w:rPr>
                <w:b/>
                <w:sz w:val="18"/>
              </w:rPr>
              <w:t>Mean Validation RMSE</w:t>
            </w:r>
          </w:p>
        </w:tc>
      </w:tr>
      <w:tr>
        <w:tc>
          <w:tcPr>
            <w:tcW w:type="dxa" w:w="3360"/>
            <w:vAlign w:val="center"/>
          </w:tcPr>
          <w:p>
            <w:pPr>
              <w:spacing w:after="0"/>
            </w:pPr>
            <w:r>
              <w:rPr>
                <w:sz w:val="18"/>
              </w:rPr>
              <w:t>1</w:t>
            </w:r>
          </w:p>
        </w:tc>
        <w:tc>
          <w:tcPr>
            <w:tcW w:type="dxa" w:w="3360"/>
            <w:vAlign w:val="center"/>
          </w:tcPr>
          <w:p>
            <w:pPr>
              <w:spacing w:after="0"/>
            </w:pPr>
            <w:r>
              <w:rPr>
                <w:sz w:val="18"/>
              </w:rPr>
              <w:t>G</w:t>
            </w:r>
          </w:p>
        </w:tc>
        <w:tc>
          <w:tcPr>
            <w:tcW w:type="dxa" w:w="3360"/>
            <w:vAlign w:val="center"/>
          </w:tcPr>
          <w:p>
            <w:pPr>
              <w:spacing w:after="0"/>
            </w:pPr>
            <w:r>
              <w:rPr>
                <w:sz w:val="18"/>
              </w:rPr>
              <w:t>2.3289</w:t>
            </w:r>
          </w:p>
        </w:tc>
      </w:tr>
      <w:tr>
        <w:tc>
          <w:tcPr>
            <w:tcW w:type="dxa" w:w="3360"/>
            <w:vAlign w:val="center"/>
          </w:tcPr>
          <w:p>
            <w:pPr>
              <w:spacing w:after="0"/>
            </w:pPr>
            <w:r>
              <w:rPr>
                <w:sz w:val="18"/>
              </w:rPr>
              <w:t>2</w:t>
            </w:r>
          </w:p>
        </w:tc>
        <w:tc>
          <w:tcPr>
            <w:tcW w:type="dxa" w:w="3360"/>
            <w:vAlign w:val="center"/>
          </w:tcPr>
          <w:p>
            <w:pPr>
              <w:spacing w:after="0"/>
            </w:pPr>
            <w:r>
              <w:rPr>
                <w:sz w:val="18"/>
              </w:rPr>
              <w:t>A</w:t>
            </w:r>
          </w:p>
        </w:tc>
        <w:tc>
          <w:tcPr>
            <w:tcW w:type="dxa" w:w="3360"/>
            <w:vAlign w:val="center"/>
          </w:tcPr>
          <w:p>
            <w:pPr>
              <w:spacing w:after="0"/>
            </w:pPr>
            <w:r>
              <w:rPr>
                <w:sz w:val="18"/>
              </w:rPr>
              <w:t>2.3518</w:t>
            </w:r>
          </w:p>
        </w:tc>
      </w:tr>
      <w:tr>
        <w:tc>
          <w:tcPr>
            <w:tcW w:type="dxa" w:w="3360"/>
            <w:vAlign w:val="center"/>
          </w:tcPr>
          <w:p>
            <w:pPr>
              <w:spacing w:after="0"/>
            </w:pPr>
            <w:r>
              <w:rPr>
                <w:sz w:val="18"/>
              </w:rPr>
              <w:t>3</w:t>
            </w:r>
          </w:p>
        </w:tc>
        <w:tc>
          <w:tcPr>
            <w:tcW w:type="dxa" w:w="3360"/>
            <w:vAlign w:val="center"/>
          </w:tcPr>
          <w:p>
            <w:pPr>
              <w:spacing w:after="0"/>
            </w:pPr>
            <w:r>
              <w:rPr>
                <w:sz w:val="18"/>
              </w:rPr>
              <w:t>E</w:t>
            </w:r>
          </w:p>
        </w:tc>
        <w:tc>
          <w:tcPr>
            <w:tcW w:type="dxa" w:w="3360"/>
            <w:vAlign w:val="center"/>
          </w:tcPr>
          <w:p>
            <w:pPr>
              <w:spacing w:after="0"/>
            </w:pPr>
            <w:r>
              <w:rPr>
                <w:sz w:val="18"/>
              </w:rPr>
              <w:t>2.4365</w:t>
            </w:r>
          </w:p>
        </w:tc>
      </w:tr>
      <w:tr>
        <w:tc>
          <w:tcPr>
            <w:tcW w:type="dxa" w:w="3360"/>
            <w:vAlign w:val="center"/>
          </w:tcPr>
          <w:p>
            <w:pPr>
              <w:spacing w:after="0"/>
            </w:pPr>
            <w:r>
              <w:rPr>
                <w:sz w:val="18"/>
              </w:rPr>
              <w:t>4</w:t>
            </w:r>
          </w:p>
        </w:tc>
        <w:tc>
          <w:tcPr>
            <w:tcW w:type="dxa" w:w="3360"/>
            <w:vAlign w:val="center"/>
          </w:tcPr>
          <w:p>
            <w:pPr>
              <w:spacing w:after="0"/>
            </w:pPr>
            <w:r>
              <w:rPr>
                <w:sz w:val="18"/>
              </w:rPr>
              <w:t>F</w:t>
            </w:r>
          </w:p>
        </w:tc>
        <w:tc>
          <w:tcPr>
            <w:tcW w:type="dxa" w:w="3360"/>
            <w:vAlign w:val="center"/>
          </w:tcPr>
          <w:p>
            <w:pPr>
              <w:spacing w:after="0"/>
            </w:pPr>
            <w:r>
              <w:rPr>
                <w:sz w:val="18"/>
              </w:rPr>
              <w:t>2.5331</w:t>
            </w:r>
          </w:p>
        </w:tc>
      </w:tr>
      <w:tr>
        <w:tc>
          <w:tcPr>
            <w:tcW w:type="dxa" w:w="3360"/>
            <w:vAlign w:val="center"/>
          </w:tcPr>
          <w:p>
            <w:pPr>
              <w:spacing w:after="0"/>
            </w:pPr>
            <w:r>
              <w:rPr>
                <w:sz w:val="18"/>
              </w:rPr>
              <w:t>5</w:t>
            </w:r>
          </w:p>
        </w:tc>
        <w:tc>
          <w:tcPr>
            <w:tcW w:type="dxa" w:w="3360"/>
            <w:vAlign w:val="center"/>
          </w:tcPr>
          <w:p>
            <w:pPr>
              <w:spacing w:after="0"/>
            </w:pPr>
            <w:r>
              <w:rPr>
                <w:sz w:val="18"/>
              </w:rPr>
              <w:t>B</w:t>
            </w:r>
          </w:p>
        </w:tc>
        <w:tc>
          <w:tcPr>
            <w:tcW w:type="dxa" w:w="3360"/>
            <w:vAlign w:val="center"/>
          </w:tcPr>
          <w:p>
            <w:pPr>
              <w:spacing w:after="0"/>
            </w:pPr>
            <w:r>
              <w:rPr>
                <w:sz w:val="18"/>
              </w:rPr>
              <w:t>2.5805</w:t>
            </w:r>
          </w:p>
        </w:tc>
      </w:tr>
      <w:tr>
        <w:tc>
          <w:tcPr>
            <w:tcW w:type="dxa" w:w="3360"/>
            <w:vAlign w:val="center"/>
          </w:tcPr>
          <w:p>
            <w:pPr>
              <w:spacing w:after="0"/>
            </w:pPr>
            <w:r>
              <w:rPr>
                <w:sz w:val="18"/>
              </w:rPr>
              <w:t>6</w:t>
            </w:r>
          </w:p>
        </w:tc>
        <w:tc>
          <w:tcPr>
            <w:tcW w:type="dxa" w:w="3360"/>
            <w:vAlign w:val="center"/>
          </w:tcPr>
          <w:p>
            <w:pPr>
              <w:spacing w:after="0"/>
            </w:pPr>
            <w:r>
              <w:rPr>
                <w:sz w:val="18"/>
              </w:rPr>
              <w:t>H</w:t>
            </w:r>
          </w:p>
        </w:tc>
        <w:tc>
          <w:tcPr>
            <w:tcW w:type="dxa" w:w="3360"/>
            <w:vAlign w:val="center"/>
          </w:tcPr>
          <w:p>
            <w:pPr>
              <w:spacing w:after="0"/>
            </w:pPr>
            <w:r>
              <w:rPr>
                <w:sz w:val="18"/>
              </w:rPr>
              <w:t>3.6210</w:t>
            </w:r>
          </w:p>
        </w:tc>
      </w:tr>
      <w:tr>
        <w:tc>
          <w:tcPr>
            <w:tcW w:type="dxa" w:w="3360"/>
            <w:vAlign w:val="center"/>
          </w:tcPr>
          <w:p>
            <w:pPr>
              <w:spacing w:after="0"/>
            </w:pPr>
            <w:r>
              <w:rPr>
                <w:sz w:val="18"/>
              </w:rPr>
              <w:t>7</w:t>
            </w:r>
          </w:p>
        </w:tc>
        <w:tc>
          <w:tcPr>
            <w:tcW w:type="dxa" w:w="3360"/>
            <w:vAlign w:val="center"/>
          </w:tcPr>
          <w:p>
            <w:pPr>
              <w:spacing w:after="0"/>
            </w:pPr>
            <w:r>
              <w:rPr>
                <w:sz w:val="18"/>
              </w:rPr>
              <w:t>C</w:t>
            </w:r>
          </w:p>
        </w:tc>
        <w:tc>
          <w:tcPr>
            <w:tcW w:type="dxa" w:w="3360"/>
            <w:vAlign w:val="center"/>
          </w:tcPr>
          <w:p>
            <w:pPr>
              <w:spacing w:after="0"/>
            </w:pPr>
            <w:r>
              <w:rPr>
                <w:sz w:val="18"/>
              </w:rPr>
              <w:t>4.8938</w:t>
            </w:r>
          </w:p>
        </w:tc>
      </w:tr>
    </w:tbl>
    <w:p/>
    <w:p>
      <w:pPr>
        <w:pStyle w:val="Heading2"/>
      </w:pPr>
      <w:r>
        <w:t>Summer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Rank</w:t>
            </w:r>
          </w:p>
        </w:tc>
        <w:tc>
          <w:tcPr>
            <w:tcW w:type="dxa" w:w="3360"/>
            <w:vAlign w:val="center"/>
            <w:shd w:fill="D9EAF7"/>
          </w:tcPr>
          <w:p>
            <w:pPr>
              <w:spacing w:after="0"/>
            </w:pPr>
            <w:r>
              <w:rPr>
                <w:b/>
                <w:sz w:val="18"/>
              </w:rPr>
              <w:t>Model</w:t>
            </w:r>
          </w:p>
        </w:tc>
        <w:tc>
          <w:tcPr>
            <w:tcW w:type="dxa" w:w="3360"/>
            <w:vAlign w:val="center"/>
            <w:shd w:fill="D9EAF7"/>
          </w:tcPr>
          <w:p>
            <w:pPr>
              <w:spacing w:after="0"/>
            </w:pPr>
            <w:r>
              <w:rPr>
                <w:b/>
                <w:sz w:val="18"/>
              </w:rPr>
              <w:t>Mean Validation RMSE</w:t>
            </w:r>
          </w:p>
        </w:tc>
      </w:tr>
      <w:tr>
        <w:tc>
          <w:tcPr>
            <w:tcW w:type="dxa" w:w="3360"/>
            <w:vAlign w:val="center"/>
          </w:tcPr>
          <w:p>
            <w:pPr>
              <w:spacing w:after="0"/>
            </w:pPr>
            <w:r>
              <w:rPr>
                <w:sz w:val="18"/>
              </w:rPr>
              <w:t>1</w:t>
            </w:r>
          </w:p>
        </w:tc>
        <w:tc>
          <w:tcPr>
            <w:tcW w:type="dxa" w:w="3360"/>
            <w:vAlign w:val="center"/>
          </w:tcPr>
          <w:p>
            <w:pPr>
              <w:spacing w:after="0"/>
            </w:pPr>
            <w:r>
              <w:rPr>
                <w:sz w:val="18"/>
              </w:rPr>
              <w:t>B</w:t>
            </w:r>
          </w:p>
        </w:tc>
        <w:tc>
          <w:tcPr>
            <w:tcW w:type="dxa" w:w="3360"/>
            <w:vAlign w:val="center"/>
          </w:tcPr>
          <w:p>
            <w:pPr>
              <w:spacing w:after="0"/>
            </w:pPr>
            <w:r>
              <w:rPr>
                <w:sz w:val="18"/>
              </w:rPr>
              <w:t>1.0502</w:t>
            </w:r>
          </w:p>
        </w:tc>
      </w:tr>
      <w:tr>
        <w:tc>
          <w:tcPr>
            <w:tcW w:type="dxa" w:w="3360"/>
            <w:vAlign w:val="center"/>
          </w:tcPr>
          <w:p>
            <w:pPr>
              <w:spacing w:after="0"/>
            </w:pPr>
            <w:r>
              <w:rPr>
                <w:sz w:val="18"/>
              </w:rPr>
              <w:t>2</w:t>
            </w:r>
          </w:p>
        </w:tc>
        <w:tc>
          <w:tcPr>
            <w:tcW w:type="dxa" w:w="3360"/>
            <w:vAlign w:val="center"/>
          </w:tcPr>
          <w:p>
            <w:pPr>
              <w:spacing w:after="0"/>
            </w:pPr>
            <w:r>
              <w:rPr>
                <w:sz w:val="18"/>
              </w:rPr>
              <w:t>C</w:t>
            </w:r>
          </w:p>
        </w:tc>
        <w:tc>
          <w:tcPr>
            <w:tcW w:type="dxa" w:w="3360"/>
            <w:vAlign w:val="center"/>
          </w:tcPr>
          <w:p>
            <w:pPr>
              <w:spacing w:after="0"/>
            </w:pPr>
            <w:r>
              <w:rPr>
                <w:sz w:val="18"/>
              </w:rPr>
              <w:t>1.1633</w:t>
            </w:r>
          </w:p>
        </w:tc>
      </w:tr>
      <w:tr>
        <w:tc>
          <w:tcPr>
            <w:tcW w:type="dxa" w:w="3360"/>
            <w:vAlign w:val="center"/>
          </w:tcPr>
          <w:p>
            <w:pPr>
              <w:spacing w:after="0"/>
            </w:pPr>
            <w:r>
              <w:rPr>
                <w:sz w:val="18"/>
              </w:rPr>
              <w:t>3</w:t>
            </w:r>
          </w:p>
        </w:tc>
        <w:tc>
          <w:tcPr>
            <w:tcW w:type="dxa" w:w="3360"/>
            <w:vAlign w:val="center"/>
          </w:tcPr>
          <w:p>
            <w:pPr>
              <w:spacing w:after="0"/>
            </w:pPr>
            <w:r>
              <w:rPr>
                <w:sz w:val="18"/>
              </w:rPr>
              <w:t>G</w:t>
            </w:r>
          </w:p>
        </w:tc>
        <w:tc>
          <w:tcPr>
            <w:tcW w:type="dxa" w:w="3360"/>
            <w:vAlign w:val="center"/>
          </w:tcPr>
          <w:p>
            <w:pPr>
              <w:spacing w:after="0"/>
            </w:pPr>
            <w:r>
              <w:rPr>
                <w:sz w:val="18"/>
              </w:rPr>
              <w:t>1.1854</w:t>
            </w:r>
          </w:p>
        </w:tc>
      </w:tr>
      <w:tr>
        <w:tc>
          <w:tcPr>
            <w:tcW w:type="dxa" w:w="3360"/>
            <w:vAlign w:val="center"/>
          </w:tcPr>
          <w:p>
            <w:pPr>
              <w:spacing w:after="0"/>
            </w:pPr>
            <w:r>
              <w:rPr>
                <w:sz w:val="18"/>
              </w:rPr>
              <w:t>4</w:t>
            </w:r>
          </w:p>
        </w:tc>
        <w:tc>
          <w:tcPr>
            <w:tcW w:type="dxa" w:w="3360"/>
            <w:vAlign w:val="center"/>
          </w:tcPr>
          <w:p>
            <w:pPr>
              <w:spacing w:after="0"/>
            </w:pPr>
            <w:r>
              <w:rPr>
                <w:sz w:val="18"/>
              </w:rPr>
              <w:t>H</w:t>
            </w:r>
          </w:p>
        </w:tc>
        <w:tc>
          <w:tcPr>
            <w:tcW w:type="dxa" w:w="3360"/>
            <w:vAlign w:val="center"/>
          </w:tcPr>
          <w:p>
            <w:pPr>
              <w:spacing w:after="0"/>
            </w:pPr>
            <w:r>
              <w:rPr>
                <w:sz w:val="18"/>
              </w:rPr>
              <w:t>1.2226</w:t>
            </w:r>
          </w:p>
        </w:tc>
      </w:tr>
      <w:tr>
        <w:tc>
          <w:tcPr>
            <w:tcW w:type="dxa" w:w="3360"/>
            <w:vAlign w:val="center"/>
          </w:tcPr>
          <w:p>
            <w:pPr>
              <w:spacing w:after="0"/>
            </w:pPr>
            <w:r>
              <w:rPr>
                <w:sz w:val="18"/>
              </w:rPr>
              <w:t>5</w:t>
            </w:r>
          </w:p>
        </w:tc>
        <w:tc>
          <w:tcPr>
            <w:tcW w:type="dxa" w:w="3360"/>
            <w:vAlign w:val="center"/>
          </w:tcPr>
          <w:p>
            <w:pPr>
              <w:spacing w:after="0"/>
            </w:pPr>
            <w:r>
              <w:rPr>
                <w:sz w:val="18"/>
              </w:rPr>
              <w:t>A</w:t>
            </w:r>
          </w:p>
        </w:tc>
        <w:tc>
          <w:tcPr>
            <w:tcW w:type="dxa" w:w="3360"/>
            <w:vAlign w:val="center"/>
          </w:tcPr>
          <w:p>
            <w:pPr>
              <w:spacing w:after="0"/>
            </w:pPr>
            <w:r>
              <w:rPr>
                <w:sz w:val="18"/>
              </w:rPr>
              <w:t>1.2417</w:t>
            </w:r>
          </w:p>
        </w:tc>
      </w:tr>
      <w:tr>
        <w:tc>
          <w:tcPr>
            <w:tcW w:type="dxa" w:w="3360"/>
            <w:vAlign w:val="center"/>
          </w:tcPr>
          <w:p>
            <w:pPr>
              <w:spacing w:after="0"/>
            </w:pPr>
            <w:r>
              <w:rPr>
                <w:sz w:val="18"/>
              </w:rPr>
              <w:t>6</w:t>
            </w:r>
          </w:p>
        </w:tc>
        <w:tc>
          <w:tcPr>
            <w:tcW w:type="dxa" w:w="3360"/>
            <w:vAlign w:val="center"/>
          </w:tcPr>
          <w:p>
            <w:pPr>
              <w:spacing w:after="0"/>
            </w:pPr>
            <w:r>
              <w:rPr>
                <w:sz w:val="18"/>
              </w:rPr>
              <w:t>F</w:t>
            </w:r>
          </w:p>
        </w:tc>
        <w:tc>
          <w:tcPr>
            <w:tcW w:type="dxa" w:w="3360"/>
            <w:vAlign w:val="center"/>
          </w:tcPr>
          <w:p>
            <w:pPr>
              <w:spacing w:after="0"/>
            </w:pPr>
            <w:r>
              <w:rPr>
                <w:sz w:val="18"/>
              </w:rPr>
              <w:t>1.3910</w:t>
            </w:r>
          </w:p>
        </w:tc>
      </w:tr>
      <w:tr>
        <w:tc>
          <w:tcPr>
            <w:tcW w:type="dxa" w:w="3360"/>
            <w:vAlign w:val="center"/>
          </w:tcPr>
          <w:p>
            <w:pPr>
              <w:spacing w:after="0"/>
            </w:pPr>
            <w:r>
              <w:rPr>
                <w:sz w:val="18"/>
              </w:rPr>
              <w:t>7</w:t>
            </w:r>
          </w:p>
        </w:tc>
        <w:tc>
          <w:tcPr>
            <w:tcW w:type="dxa" w:w="3360"/>
            <w:vAlign w:val="center"/>
          </w:tcPr>
          <w:p>
            <w:pPr>
              <w:spacing w:after="0"/>
            </w:pPr>
            <w:r>
              <w:rPr>
                <w:sz w:val="18"/>
              </w:rPr>
              <w:t>E</w:t>
            </w:r>
          </w:p>
        </w:tc>
        <w:tc>
          <w:tcPr>
            <w:tcW w:type="dxa" w:w="3360"/>
            <w:vAlign w:val="center"/>
          </w:tcPr>
          <w:p>
            <w:pPr>
              <w:spacing w:after="0"/>
            </w:pPr>
            <w:r>
              <w:rPr>
                <w:sz w:val="18"/>
              </w:rPr>
              <w:t>1.4143</w:t>
            </w:r>
          </w:p>
        </w:tc>
      </w:tr>
    </w:tbl>
    <w:p/>
    <w:p>
      <w:pPr>
        <w:pStyle w:val="Heading2"/>
      </w:pPr>
      <w:r>
        <w:t>Autumn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Rank</w:t>
            </w:r>
          </w:p>
        </w:tc>
        <w:tc>
          <w:tcPr>
            <w:tcW w:type="dxa" w:w="3360"/>
            <w:vAlign w:val="center"/>
            <w:shd w:fill="D9EAF7"/>
          </w:tcPr>
          <w:p>
            <w:pPr>
              <w:spacing w:after="0"/>
            </w:pPr>
            <w:r>
              <w:rPr>
                <w:b/>
                <w:sz w:val="18"/>
              </w:rPr>
              <w:t>Model</w:t>
            </w:r>
          </w:p>
        </w:tc>
        <w:tc>
          <w:tcPr>
            <w:tcW w:type="dxa" w:w="3360"/>
            <w:vAlign w:val="center"/>
            <w:shd w:fill="D9EAF7"/>
          </w:tcPr>
          <w:p>
            <w:pPr>
              <w:spacing w:after="0"/>
            </w:pPr>
            <w:r>
              <w:rPr>
                <w:b/>
                <w:sz w:val="18"/>
              </w:rPr>
              <w:t>Mean Validation RMSE</w:t>
            </w:r>
          </w:p>
        </w:tc>
      </w:tr>
      <w:tr>
        <w:tc>
          <w:tcPr>
            <w:tcW w:type="dxa" w:w="3360"/>
            <w:vAlign w:val="center"/>
          </w:tcPr>
          <w:p>
            <w:pPr>
              <w:spacing w:after="0"/>
            </w:pPr>
            <w:r>
              <w:rPr>
                <w:sz w:val="18"/>
              </w:rPr>
              <w:t>1</w:t>
            </w:r>
          </w:p>
        </w:tc>
        <w:tc>
          <w:tcPr>
            <w:tcW w:type="dxa" w:w="3360"/>
            <w:vAlign w:val="center"/>
          </w:tcPr>
          <w:p>
            <w:pPr>
              <w:spacing w:after="0"/>
            </w:pPr>
            <w:r>
              <w:rPr>
                <w:sz w:val="18"/>
              </w:rPr>
              <w:t>H</w:t>
            </w:r>
          </w:p>
        </w:tc>
        <w:tc>
          <w:tcPr>
            <w:tcW w:type="dxa" w:w="3360"/>
            <w:vAlign w:val="center"/>
          </w:tcPr>
          <w:p>
            <w:pPr>
              <w:spacing w:after="0"/>
            </w:pPr>
            <w:r>
              <w:rPr>
                <w:sz w:val="18"/>
              </w:rPr>
              <w:t>1.5358</w:t>
            </w:r>
          </w:p>
        </w:tc>
      </w:tr>
      <w:tr>
        <w:tc>
          <w:tcPr>
            <w:tcW w:type="dxa" w:w="3360"/>
            <w:vAlign w:val="center"/>
          </w:tcPr>
          <w:p>
            <w:pPr>
              <w:spacing w:after="0"/>
            </w:pPr>
            <w:r>
              <w:rPr>
                <w:sz w:val="18"/>
              </w:rPr>
              <w:t>2</w:t>
            </w:r>
          </w:p>
        </w:tc>
        <w:tc>
          <w:tcPr>
            <w:tcW w:type="dxa" w:w="3360"/>
            <w:vAlign w:val="center"/>
          </w:tcPr>
          <w:p>
            <w:pPr>
              <w:spacing w:after="0"/>
            </w:pPr>
            <w:r>
              <w:rPr>
                <w:sz w:val="18"/>
              </w:rPr>
              <w:t>E</w:t>
            </w:r>
          </w:p>
        </w:tc>
        <w:tc>
          <w:tcPr>
            <w:tcW w:type="dxa" w:w="3360"/>
            <w:vAlign w:val="center"/>
          </w:tcPr>
          <w:p>
            <w:pPr>
              <w:spacing w:after="0"/>
            </w:pPr>
            <w:r>
              <w:rPr>
                <w:sz w:val="18"/>
              </w:rPr>
              <w:t>1.6009</w:t>
            </w:r>
          </w:p>
        </w:tc>
      </w:tr>
      <w:tr>
        <w:tc>
          <w:tcPr>
            <w:tcW w:type="dxa" w:w="3360"/>
            <w:vAlign w:val="center"/>
          </w:tcPr>
          <w:p>
            <w:pPr>
              <w:spacing w:after="0"/>
            </w:pPr>
            <w:r>
              <w:rPr>
                <w:sz w:val="18"/>
              </w:rPr>
              <w:t>3</w:t>
            </w:r>
          </w:p>
        </w:tc>
        <w:tc>
          <w:tcPr>
            <w:tcW w:type="dxa" w:w="3360"/>
            <w:vAlign w:val="center"/>
          </w:tcPr>
          <w:p>
            <w:pPr>
              <w:spacing w:after="0"/>
            </w:pPr>
            <w:r>
              <w:rPr>
                <w:sz w:val="18"/>
              </w:rPr>
              <w:t>B</w:t>
            </w:r>
          </w:p>
        </w:tc>
        <w:tc>
          <w:tcPr>
            <w:tcW w:type="dxa" w:w="3360"/>
            <w:vAlign w:val="center"/>
          </w:tcPr>
          <w:p>
            <w:pPr>
              <w:spacing w:after="0"/>
            </w:pPr>
            <w:r>
              <w:rPr>
                <w:sz w:val="18"/>
              </w:rPr>
              <w:t>1.6192</w:t>
            </w:r>
          </w:p>
        </w:tc>
      </w:tr>
      <w:tr>
        <w:tc>
          <w:tcPr>
            <w:tcW w:type="dxa" w:w="3360"/>
            <w:vAlign w:val="center"/>
          </w:tcPr>
          <w:p>
            <w:pPr>
              <w:spacing w:after="0"/>
            </w:pPr>
            <w:r>
              <w:rPr>
                <w:sz w:val="18"/>
              </w:rPr>
              <w:t>4</w:t>
            </w:r>
          </w:p>
        </w:tc>
        <w:tc>
          <w:tcPr>
            <w:tcW w:type="dxa" w:w="3360"/>
            <w:vAlign w:val="center"/>
          </w:tcPr>
          <w:p>
            <w:pPr>
              <w:spacing w:after="0"/>
            </w:pPr>
            <w:r>
              <w:rPr>
                <w:sz w:val="18"/>
              </w:rPr>
              <w:t>A</w:t>
            </w:r>
          </w:p>
        </w:tc>
        <w:tc>
          <w:tcPr>
            <w:tcW w:type="dxa" w:w="3360"/>
            <w:vAlign w:val="center"/>
          </w:tcPr>
          <w:p>
            <w:pPr>
              <w:spacing w:after="0"/>
            </w:pPr>
            <w:r>
              <w:rPr>
                <w:sz w:val="18"/>
              </w:rPr>
              <w:t>1.7502</w:t>
            </w:r>
          </w:p>
        </w:tc>
      </w:tr>
      <w:tr>
        <w:tc>
          <w:tcPr>
            <w:tcW w:type="dxa" w:w="3360"/>
            <w:vAlign w:val="center"/>
          </w:tcPr>
          <w:p>
            <w:pPr>
              <w:spacing w:after="0"/>
            </w:pPr>
            <w:r>
              <w:rPr>
                <w:sz w:val="18"/>
              </w:rPr>
              <w:t>5</w:t>
            </w:r>
          </w:p>
        </w:tc>
        <w:tc>
          <w:tcPr>
            <w:tcW w:type="dxa" w:w="3360"/>
            <w:vAlign w:val="center"/>
          </w:tcPr>
          <w:p>
            <w:pPr>
              <w:spacing w:after="0"/>
            </w:pPr>
            <w:r>
              <w:rPr>
                <w:sz w:val="18"/>
              </w:rPr>
              <w:t>G</w:t>
            </w:r>
          </w:p>
        </w:tc>
        <w:tc>
          <w:tcPr>
            <w:tcW w:type="dxa" w:w="3360"/>
            <w:vAlign w:val="center"/>
          </w:tcPr>
          <w:p>
            <w:pPr>
              <w:spacing w:after="0"/>
            </w:pPr>
            <w:r>
              <w:rPr>
                <w:sz w:val="18"/>
              </w:rPr>
              <w:t>1.8198</w:t>
            </w:r>
          </w:p>
        </w:tc>
      </w:tr>
      <w:tr>
        <w:tc>
          <w:tcPr>
            <w:tcW w:type="dxa" w:w="3360"/>
            <w:vAlign w:val="center"/>
          </w:tcPr>
          <w:p>
            <w:pPr>
              <w:spacing w:after="0"/>
            </w:pPr>
            <w:r>
              <w:rPr>
                <w:sz w:val="18"/>
              </w:rPr>
              <w:t>6</w:t>
            </w:r>
          </w:p>
        </w:tc>
        <w:tc>
          <w:tcPr>
            <w:tcW w:type="dxa" w:w="3360"/>
            <w:vAlign w:val="center"/>
          </w:tcPr>
          <w:p>
            <w:pPr>
              <w:spacing w:after="0"/>
            </w:pPr>
            <w:r>
              <w:rPr>
                <w:sz w:val="18"/>
              </w:rPr>
              <w:t>F</w:t>
            </w:r>
          </w:p>
        </w:tc>
        <w:tc>
          <w:tcPr>
            <w:tcW w:type="dxa" w:w="3360"/>
            <w:vAlign w:val="center"/>
          </w:tcPr>
          <w:p>
            <w:pPr>
              <w:spacing w:after="0"/>
            </w:pPr>
            <w:r>
              <w:rPr>
                <w:sz w:val="18"/>
              </w:rPr>
              <w:t>2.0846</w:t>
            </w:r>
          </w:p>
        </w:tc>
      </w:tr>
      <w:tr>
        <w:tc>
          <w:tcPr>
            <w:tcW w:type="dxa" w:w="3360"/>
            <w:vAlign w:val="center"/>
          </w:tcPr>
          <w:p>
            <w:pPr>
              <w:spacing w:after="0"/>
            </w:pPr>
            <w:r>
              <w:rPr>
                <w:sz w:val="18"/>
              </w:rPr>
              <w:t>7</w:t>
            </w:r>
          </w:p>
        </w:tc>
        <w:tc>
          <w:tcPr>
            <w:tcW w:type="dxa" w:w="3360"/>
            <w:vAlign w:val="center"/>
          </w:tcPr>
          <w:p>
            <w:pPr>
              <w:spacing w:after="0"/>
            </w:pPr>
            <w:r>
              <w:rPr>
                <w:sz w:val="18"/>
              </w:rPr>
              <w:t>C</w:t>
            </w:r>
          </w:p>
        </w:tc>
        <w:tc>
          <w:tcPr>
            <w:tcW w:type="dxa" w:w="3360"/>
            <w:vAlign w:val="center"/>
          </w:tcPr>
          <w:p>
            <w:pPr>
              <w:spacing w:after="0"/>
            </w:pPr>
            <w:r>
              <w:rPr>
                <w:sz w:val="18"/>
              </w:rPr>
              <w:t>3.6433</w:t>
            </w:r>
          </w:p>
        </w:tc>
      </w:tr>
    </w:tbl>
    <w:p/>
    <w:p>
      <w:pPr>
        <w:pStyle w:val="Heading2"/>
      </w:pPr>
      <w:r>
        <w:t>Winter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Rank</w:t>
            </w:r>
          </w:p>
        </w:tc>
        <w:tc>
          <w:tcPr>
            <w:tcW w:type="dxa" w:w="3360"/>
            <w:vAlign w:val="center"/>
            <w:shd w:fill="D9EAF7"/>
          </w:tcPr>
          <w:p>
            <w:pPr>
              <w:spacing w:after="0"/>
            </w:pPr>
            <w:r>
              <w:rPr>
                <w:b/>
                <w:sz w:val="18"/>
              </w:rPr>
              <w:t>Model</w:t>
            </w:r>
          </w:p>
        </w:tc>
        <w:tc>
          <w:tcPr>
            <w:tcW w:type="dxa" w:w="3360"/>
            <w:vAlign w:val="center"/>
            <w:shd w:fill="D9EAF7"/>
          </w:tcPr>
          <w:p>
            <w:pPr>
              <w:spacing w:after="0"/>
            </w:pPr>
            <w:r>
              <w:rPr>
                <w:b/>
                <w:sz w:val="18"/>
              </w:rPr>
              <w:t>Mean Validation RMSE</w:t>
            </w:r>
          </w:p>
        </w:tc>
      </w:tr>
      <w:tr>
        <w:tc>
          <w:tcPr>
            <w:tcW w:type="dxa" w:w="3360"/>
            <w:vAlign w:val="center"/>
          </w:tcPr>
          <w:p>
            <w:pPr>
              <w:spacing w:after="0"/>
            </w:pPr>
            <w:r>
              <w:rPr>
                <w:sz w:val="18"/>
              </w:rPr>
              <w:t>1</w:t>
            </w:r>
          </w:p>
        </w:tc>
        <w:tc>
          <w:tcPr>
            <w:tcW w:type="dxa" w:w="3360"/>
            <w:vAlign w:val="center"/>
          </w:tcPr>
          <w:p>
            <w:pPr>
              <w:spacing w:after="0"/>
            </w:pPr>
            <w:r>
              <w:rPr>
                <w:sz w:val="18"/>
              </w:rPr>
              <w:t>H</w:t>
            </w:r>
          </w:p>
        </w:tc>
        <w:tc>
          <w:tcPr>
            <w:tcW w:type="dxa" w:w="3360"/>
            <w:vAlign w:val="center"/>
          </w:tcPr>
          <w:p>
            <w:pPr>
              <w:spacing w:after="0"/>
            </w:pPr>
            <w:r>
              <w:rPr>
                <w:sz w:val="18"/>
              </w:rPr>
              <w:t>1.6751</w:t>
            </w:r>
          </w:p>
        </w:tc>
      </w:tr>
      <w:tr>
        <w:tc>
          <w:tcPr>
            <w:tcW w:type="dxa" w:w="3360"/>
            <w:vAlign w:val="center"/>
          </w:tcPr>
          <w:p>
            <w:pPr>
              <w:spacing w:after="0"/>
            </w:pPr>
            <w:r>
              <w:rPr>
                <w:sz w:val="18"/>
              </w:rPr>
              <w:t>2</w:t>
            </w:r>
          </w:p>
        </w:tc>
        <w:tc>
          <w:tcPr>
            <w:tcW w:type="dxa" w:w="3360"/>
            <w:vAlign w:val="center"/>
          </w:tcPr>
          <w:p>
            <w:pPr>
              <w:spacing w:after="0"/>
            </w:pPr>
            <w:r>
              <w:rPr>
                <w:sz w:val="18"/>
              </w:rPr>
              <w:t>G</w:t>
            </w:r>
          </w:p>
        </w:tc>
        <w:tc>
          <w:tcPr>
            <w:tcW w:type="dxa" w:w="3360"/>
            <w:vAlign w:val="center"/>
          </w:tcPr>
          <w:p>
            <w:pPr>
              <w:spacing w:after="0"/>
            </w:pPr>
            <w:r>
              <w:rPr>
                <w:sz w:val="18"/>
              </w:rPr>
              <w:t>1.8026</w:t>
            </w:r>
          </w:p>
        </w:tc>
      </w:tr>
      <w:tr>
        <w:tc>
          <w:tcPr>
            <w:tcW w:type="dxa" w:w="3360"/>
            <w:vAlign w:val="center"/>
          </w:tcPr>
          <w:p>
            <w:pPr>
              <w:spacing w:after="0"/>
            </w:pPr>
            <w:r>
              <w:rPr>
                <w:sz w:val="18"/>
              </w:rPr>
              <w:t>3</w:t>
            </w:r>
          </w:p>
        </w:tc>
        <w:tc>
          <w:tcPr>
            <w:tcW w:type="dxa" w:w="3360"/>
            <w:vAlign w:val="center"/>
          </w:tcPr>
          <w:p>
            <w:pPr>
              <w:spacing w:after="0"/>
            </w:pPr>
            <w:r>
              <w:rPr>
                <w:sz w:val="18"/>
              </w:rPr>
              <w:t>A</w:t>
            </w:r>
          </w:p>
        </w:tc>
        <w:tc>
          <w:tcPr>
            <w:tcW w:type="dxa" w:w="3360"/>
            <w:vAlign w:val="center"/>
          </w:tcPr>
          <w:p>
            <w:pPr>
              <w:spacing w:after="0"/>
            </w:pPr>
            <w:r>
              <w:rPr>
                <w:sz w:val="18"/>
              </w:rPr>
              <w:t>1.9824</w:t>
            </w:r>
          </w:p>
        </w:tc>
      </w:tr>
      <w:tr>
        <w:tc>
          <w:tcPr>
            <w:tcW w:type="dxa" w:w="3360"/>
            <w:vAlign w:val="center"/>
          </w:tcPr>
          <w:p>
            <w:pPr>
              <w:spacing w:after="0"/>
            </w:pPr>
            <w:r>
              <w:rPr>
                <w:sz w:val="18"/>
              </w:rPr>
              <w:t>4</w:t>
            </w:r>
          </w:p>
        </w:tc>
        <w:tc>
          <w:tcPr>
            <w:tcW w:type="dxa" w:w="3360"/>
            <w:vAlign w:val="center"/>
          </w:tcPr>
          <w:p>
            <w:pPr>
              <w:spacing w:after="0"/>
            </w:pPr>
            <w:r>
              <w:rPr>
                <w:sz w:val="18"/>
              </w:rPr>
              <w:t>B</w:t>
            </w:r>
          </w:p>
        </w:tc>
        <w:tc>
          <w:tcPr>
            <w:tcW w:type="dxa" w:w="3360"/>
            <w:vAlign w:val="center"/>
          </w:tcPr>
          <w:p>
            <w:pPr>
              <w:spacing w:after="0"/>
            </w:pPr>
            <w:r>
              <w:rPr>
                <w:sz w:val="18"/>
              </w:rPr>
              <w:t>2.0080</w:t>
            </w:r>
          </w:p>
        </w:tc>
      </w:tr>
      <w:tr>
        <w:tc>
          <w:tcPr>
            <w:tcW w:type="dxa" w:w="3360"/>
            <w:vAlign w:val="center"/>
          </w:tcPr>
          <w:p>
            <w:pPr>
              <w:spacing w:after="0"/>
            </w:pPr>
            <w:r>
              <w:rPr>
                <w:sz w:val="18"/>
              </w:rPr>
              <w:t>5</w:t>
            </w:r>
          </w:p>
        </w:tc>
        <w:tc>
          <w:tcPr>
            <w:tcW w:type="dxa" w:w="3360"/>
            <w:vAlign w:val="center"/>
          </w:tcPr>
          <w:p>
            <w:pPr>
              <w:spacing w:after="0"/>
            </w:pPr>
            <w:r>
              <w:rPr>
                <w:sz w:val="18"/>
              </w:rPr>
              <w:t>F</w:t>
            </w:r>
          </w:p>
        </w:tc>
        <w:tc>
          <w:tcPr>
            <w:tcW w:type="dxa" w:w="3360"/>
            <w:vAlign w:val="center"/>
          </w:tcPr>
          <w:p>
            <w:pPr>
              <w:spacing w:after="0"/>
            </w:pPr>
            <w:r>
              <w:rPr>
                <w:sz w:val="18"/>
              </w:rPr>
              <w:t>2.4404</w:t>
            </w:r>
          </w:p>
        </w:tc>
      </w:tr>
      <w:tr>
        <w:tc>
          <w:tcPr>
            <w:tcW w:type="dxa" w:w="3360"/>
            <w:vAlign w:val="center"/>
          </w:tcPr>
          <w:p>
            <w:pPr>
              <w:spacing w:after="0"/>
            </w:pPr>
            <w:r>
              <w:rPr>
                <w:sz w:val="18"/>
              </w:rPr>
              <w:t>6</w:t>
            </w:r>
          </w:p>
        </w:tc>
        <w:tc>
          <w:tcPr>
            <w:tcW w:type="dxa" w:w="3360"/>
            <w:vAlign w:val="center"/>
          </w:tcPr>
          <w:p>
            <w:pPr>
              <w:spacing w:after="0"/>
            </w:pPr>
            <w:r>
              <w:rPr>
                <w:sz w:val="18"/>
              </w:rPr>
              <w:t>E</w:t>
            </w:r>
          </w:p>
        </w:tc>
        <w:tc>
          <w:tcPr>
            <w:tcW w:type="dxa" w:w="3360"/>
            <w:vAlign w:val="center"/>
          </w:tcPr>
          <w:p>
            <w:pPr>
              <w:spacing w:after="0"/>
            </w:pPr>
            <w:r>
              <w:rPr>
                <w:sz w:val="18"/>
              </w:rPr>
              <w:t>2.5411</w:t>
            </w:r>
          </w:p>
        </w:tc>
      </w:tr>
      <w:tr>
        <w:tc>
          <w:tcPr>
            <w:tcW w:type="dxa" w:w="3360"/>
            <w:vAlign w:val="center"/>
          </w:tcPr>
          <w:p>
            <w:pPr>
              <w:spacing w:after="0"/>
            </w:pPr>
            <w:r>
              <w:rPr>
                <w:sz w:val="18"/>
              </w:rPr>
              <w:t>7</w:t>
            </w:r>
          </w:p>
        </w:tc>
        <w:tc>
          <w:tcPr>
            <w:tcW w:type="dxa" w:w="3360"/>
            <w:vAlign w:val="center"/>
          </w:tcPr>
          <w:p>
            <w:pPr>
              <w:spacing w:after="0"/>
            </w:pPr>
            <w:r>
              <w:rPr>
                <w:sz w:val="18"/>
              </w:rPr>
              <w:t>C</w:t>
            </w:r>
          </w:p>
        </w:tc>
        <w:tc>
          <w:tcPr>
            <w:tcW w:type="dxa" w:w="3360"/>
            <w:vAlign w:val="center"/>
          </w:tcPr>
          <w:p>
            <w:pPr>
              <w:spacing w:after="0"/>
            </w:pPr>
            <w:r>
              <w:rPr>
                <w:sz w:val="18"/>
              </w:rPr>
              <w:t>3.5936</w:t>
            </w:r>
          </w:p>
        </w:tc>
      </w:tr>
    </w:tbl>
    <w:p/>
    <w:p>
      <w:pPr>
        <w:pStyle w:val="Heading1"/>
      </w:pPr>
      <w:r>
        <w:t>8. Final Test Results</w:t>
      </w:r>
    </w:p>
    <w:p>
      <w:pPr>
        <w:spacing w:after="120"/>
      </w:pPr>
      <w:r>
        <w:t>After selecting the best model using validation results, the selected model was evaluated on unseen test data. The following tables show final test performance at forecast horizons 1, 2, 3, and 24 hours.</w:t>
      </w:r>
    </w:p>
    <w:p>
      <w:pPr>
        <w:pStyle w:val="Heading2"/>
      </w:pPr>
      <w:r>
        <w:t>Spring - Best Model 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Pr>
                <w:b/>
                <w:sz w:val="18"/>
              </w:rPr>
              <w:t>Horizon</w:t>
            </w:r>
          </w:p>
        </w:tc>
        <w:tc>
          <w:tcPr>
            <w:tcW w:type="dxa" w:w="2016"/>
            <w:vAlign w:val="center"/>
            <w:shd w:fill="D9EAF7"/>
          </w:tcPr>
          <w:p>
            <w:pPr>
              <w:spacing w:after="0"/>
            </w:pPr>
            <w:r>
              <w:rPr>
                <w:b/>
                <w:sz w:val="18"/>
              </w:rPr>
              <w:t>MAE</w:t>
            </w:r>
          </w:p>
        </w:tc>
        <w:tc>
          <w:tcPr>
            <w:tcW w:type="dxa" w:w="2016"/>
            <w:vAlign w:val="center"/>
            <w:shd w:fill="D9EAF7"/>
          </w:tcPr>
          <w:p>
            <w:pPr>
              <w:spacing w:after="0"/>
            </w:pPr>
            <w:r>
              <w:rPr>
                <w:b/>
                <w:sz w:val="18"/>
              </w:rPr>
              <w:t>RMSE</w:t>
            </w:r>
          </w:p>
        </w:tc>
        <w:tc>
          <w:tcPr>
            <w:tcW w:type="dxa" w:w="2016"/>
            <w:vAlign w:val="center"/>
            <w:shd w:fill="D9EAF7"/>
          </w:tcPr>
          <w:p>
            <w:pPr>
              <w:spacing w:after="0"/>
            </w:pPr>
            <w:r>
              <w:rPr>
                <w:b/>
                <w:sz w:val="18"/>
              </w:rPr>
              <w:t>MAPE</w:t>
            </w:r>
          </w:p>
        </w:tc>
        <w:tc>
          <w:tcPr>
            <w:tcW w:type="dxa" w:w="2016"/>
            <w:vAlign w:val="center"/>
            <w:shd w:fill="D9EAF7"/>
          </w:tcPr>
          <w:p>
            <w:pPr>
              <w:spacing w:after="0"/>
            </w:pPr>
            <w:r>
              <w:rPr>
                <w:b/>
                <w:sz w:val="18"/>
              </w:rPr>
              <w:t>MedAE</w:t>
            </w:r>
          </w:p>
        </w:tc>
      </w:tr>
      <w:tr>
        <w:tc>
          <w:tcPr>
            <w:tcW w:type="dxa" w:w="2016"/>
            <w:vAlign w:val="center"/>
          </w:tcPr>
          <w:p>
            <w:pPr>
              <w:spacing w:after="0"/>
            </w:pPr>
            <w:r>
              <w:rPr>
                <w:sz w:val="18"/>
              </w:rPr>
              <w:t>1</w:t>
            </w:r>
          </w:p>
        </w:tc>
        <w:tc>
          <w:tcPr>
            <w:tcW w:type="dxa" w:w="2016"/>
            <w:vAlign w:val="center"/>
          </w:tcPr>
          <w:p>
            <w:pPr>
              <w:spacing w:after="0"/>
            </w:pPr>
            <w:r>
              <w:rPr>
                <w:sz w:val="18"/>
              </w:rPr>
              <w:t>0.8058</w:t>
            </w:r>
          </w:p>
        </w:tc>
        <w:tc>
          <w:tcPr>
            <w:tcW w:type="dxa" w:w="2016"/>
            <w:vAlign w:val="center"/>
          </w:tcPr>
          <w:p>
            <w:pPr>
              <w:spacing w:after="0"/>
            </w:pPr>
            <w:r>
              <w:rPr>
                <w:sz w:val="18"/>
              </w:rPr>
              <w:t>1.0360</w:t>
            </w:r>
          </w:p>
        </w:tc>
        <w:tc>
          <w:tcPr>
            <w:tcW w:type="dxa" w:w="2016"/>
            <w:vAlign w:val="center"/>
          </w:tcPr>
          <w:p>
            <w:pPr>
              <w:spacing w:after="0"/>
            </w:pPr>
            <w:r>
              <w:rPr>
                <w:sz w:val="18"/>
              </w:rPr>
              <w:t>0.1925</w:t>
            </w:r>
          </w:p>
        </w:tc>
        <w:tc>
          <w:tcPr>
            <w:tcW w:type="dxa" w:w="2016"/>
            <w:vAlign w:val="center"/>
          </w:tcPr>
          <w:p>
            <w:pPr>
              <w:spacing w:after="0"/>
            </w:pPr>
            <w:r>
              <w:rPr>
                <w:sz w:val="18"/>
              </w:rPr>
              <w:t>0.7905</w:t>
            </w:r>
          </w:p>
        </w:tc>
      </w:tr>
      <w:tr>
        <w:tc>
          <w:tcPr>
            <w:tcW w:type="dxa" w:w="2016"/>
            <w:vAlign w:val="center"/>
          </w:tcPr>
          <w:p>
            <w:pPr>
              <w:spacing w:after="0"/>
            </w:pPr>
            <w:r>
              <w:rPr>
                <w:sz w:val="18"/>
              </w:rPr>
              <w:t>2</w:t>
            </w:r>
          </w:p>
        </w:tc>
        <w:tc>
          <w:tcPr>
            <w:tcW w:type="dxa" w:w="2016"/>
            <w:vAlign w:val="center"/>
          </w:tcPr>
          <w:p>
            <w:pPr>
              <w:spacing w:after="0"/>
            </w:pPr>
            <w:r>
              <w:rPr>
                <w:sz w:val="18"/>
              </w:rPr>
              <w:t>0.8923</w:t>
            </w:r>
          </w:p>
        </w:tc>
        <w:tc>
          <w:tcPr>
            <w:tcW w:type="dxa" w:w="2016"/>
            <w:vAlign w:val="center"/>
          </w:tcPr>
          <w:p>
            <w:pPr>
              <w:spacing w:after="0"/>
            </w:pPr>
            <w:r>
              <w:rPr>
                <w:sz w:val="18"/>
              </w:rPr>
              <w:t>1.1660</w:t>
            </w:r>
          </w:p>
        </w:tc>
        <w:tc>
          <w:tcPr>
            <w:tcW w:type="dxa" w:w="2016"/>
            <w:vAlign w:val="center"/>
          </w:tcPr>
          <w:p>
            <w:pPr>
              <w:spacing w:after="0"/>
            </w:pPr>
            <w:r>
              <w:rPr>
                <w:sz w:val="18"/>
              </w:rPr>
              <w:t>0.2476</w:t>
            </w:r>
          </w:p>
        </w:tc>
        <w:tc>
          <w:tcPr>
            <w:tcW w:type="dxa" w:w="2016"/>
            <w:vAlign w:val="center"/>
          </w:tcPr>
          <w:p>
            <w:pPr>
              <w:spacing w:after="0"/>
            </w:pPr>
            <w:r>
              <w:rPr>
                <w:sz w:val="18"/>
              </w:rPr>
              <w:t>0.8874</w:t>
            </w:r>
          </w:p>
        </w:tc>
      </w:tr>
      <w:tr>
        <w:tc>
          <w:tcPr>
            <w:tcW w:type="dxa" w:w="2016"/>
            <w:vAlign w:val="center"/>
          </w:tcPr>
          <w:p>
            <w:pPr>
              <w:spacing w:after="0"/>
            </w:pPr>
            <w:r>
              <w:rPr>
                <w:sz w:val="18"/>
              </w:rPr>
              <w:t>3</w:t>
            </w:r>
          </w:p>
        </w:tc>
        <w:tc>
          <w:tcPr>
            <w:tcW w:type="dxa" w:w="2016"/>
            <w:vAlign w:val="center"/>
          </w:tcPr>
          <w:p>
            <w:pPr>
              <w:spacing w:after="0"/>
            </w:pPr>
            <w:r>
              <w:rPr>
                <w:sz w:val="18"/>
              </w:rPr>
              <w:t>1.6695</w:t>
            </w:r>
          </w:p>
        </w:tc>
        <w:tc>
          <w:tcPr>
            <w:tcW w:type="dxa" w:w="2016"/>
            <w:vAlign w:val="center"/>
          </w:tcPr>
          <w:p>
            <w:pPr>
              <w:spacing w:after="0"/>
            </w:pPr>
            <w:r>
              <w:rPr>
                <w:sz w:val="18"/>
              </w:rPr>
              <w:t>2.6510</w:t>
            </w:r>
          </w:p>
        </w:tc>
        <w:tc>
          <w:tcPr>
            <w:tcW w:type="dxa" w:w="2016"/>
            <w:vAlign w:val="center"/>
          </w:tcPr>
          <w:p>
            <w:pPr>
              <w:spacing w:after="0"/>
            </w:pPr>
            <w:r>
              <w:rPr>
                <w:sz w:val="18"/>
              </w:rPr>
              <w:t>0.3875</w:t>
            </w:r>
          </w:p>
        </w:tc>
        <w:tc>
          <w:tcPr>
            <w:tcW w:type="dxa" w:w="2016"/>
            <w:vAlign w:val="center"/>
          </w:tcPr>
          <w:p>
            <w:pPr>
              <w:spacing w:after="0"/>
            </w:pPr>
            <w:r>
              <w:rPr>
                <w:sz w:val="18"/>
              </w:rPr>
              <w:t>1.1688</w:t>
            </w:r>
          </w:p>
        </w:tc>
      </w:tr>
      <w:tr>
        <w:tc>
          <w:tcPr>
            <w:tcW w:type="dxa" w:w="2016"/>
            <w:vAlign w:val="center"/>
          </w:tcPr>
          <w:p>
            <w:pPr>
              <w:spacing w:after="0"/>
            </w:pPr>
            <w:r>
              <w:rPr>
                <w:sz w:val="18"/>
              </w:rPr>
              <w:t>24</w:t>
            </w:r>
          </w:p>
        </w:tc>
        <w:tc>
          <w:tcPr>
            <w:tcW w:type="dxa" w:w="2016"/>
            <w:vAlign w:val="center"/>
          </w:tcPr>
          <w:p>
            <w:pPr>
              <w:spacing w:after="0"/>
            </w:pPr>
            <w:r>
              <w:rPr>
                <w:sz w:val="18"/>
              </w:rPr>
              <w:t>1.7973</w:t>
            </w:r>
          </w:p>
        </w:tc>
        <w:tc>
          <w:tcPr>
            <w:tcW w:type="dxa" w:w="2016"/>
            <w:vAlign w:val="center"/>
          </w:tcPr>
          <w:p>
            <w:pPr>
              <w:spacing w:after="0"/>
            </w:pPr>
            <w:r>
              <w:rPr>
                <w:sz w:val="18"/>
              </w:rPr>
              <w:t>2.6302</w:t>
            </w:r>
          </w:p>
        </w:tc>
        <w:tc>
          <w:tcPr>
            <w:tcW w:type="dxa" w:w="2016"/>
            <w:vAlign w:val="center"/>
          </w:tcPr>
          <w:p>
            <w:pPr>
              <w:spacing w:after="0"/>
            </w:pPr>
            <w:r>
              <w:rPr>
                <w:sz w:val="18"/>
              </w:rPr>
              <w:t>0.4616</w:t>
            </w:r>
          </w:p>
        </w:tc>
        <w:tc>
          <w:tcPr>
            <w:tcW w:type="dxa" w:w="2016"/>
            <w:vAlign w:val="center"/>
          </w:tcPr>
          <w:p>
            <w:pPr>
              <w:spacing w:after="0"/>
            </w:pPr>
            <w:r>
              <w:rPr>
                <w:sz w:val="18"/>
              </w:rPr>
              <w:t>0.9783</w:t>
            </w:r>
          </w:p>
        </w:tc>
      </w:tr>
    </w:tbl>
    <w:p/>
    <w:p>
      <w:pPr>
        <w:pStyle w:val="Heading2"/>
      </w:pPr>
      <w:r>
        <w:t>Summer - Best Model B</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Pr>
                <w:b/>
                <w:sz w:val="18"/>
              </w:rPr>
              <w:t>Horizon</w:t>
            </w:r>
          </w:p>
        </w:tc>
        <w:tc>
          <w:tcPr>
            <w:tcW w:type="dxa" w:w="2016"/>
            <w:vAlign w:val="center"/>
            <w:shd w:fill="D9EAF7"/>
          </w:tcPr>
          <w:p>
            <w:pPr>
              <w:spacing w:after="0"/>
            </w:pPr>
            <w:r>
              <w:rPr>
                <w:b/>
                <w:sz w:val="18"/>
              </w:rPr>
              <w:t>MAE</w:t>
            </w:r>
          </w:p>
        </w:tc>
        <w:tc>
          <w:tcPr>
            <w:tcW w:type="dxa" w:w="2016"/>
            <w:vAlign w:val="center"/>
            <w:shd w:fill="D9EAF7"/>
          </w:tcPr>
          <w:p>
            <w:pPr>
              <w:spacing w:after="0"/>
            </w:pPr>
            <w:r>
              <w:rPr>
                <w:b/>
                <w:sz w:val="18"/>
              </w:rPr>
              <w:t>RMSE</w:t>
            </w:r>
          </w:p>
        </w:tc>
        <w:tc>
          <w:tcPr>
            <w:tcW w:type="dxa" w:w="2016"/>
            <w:vAlign w:val="center"/>
            <w:shd w:fill="D9EAF7"/>
          </w:tcPr>
          <w:p>
            <w:pPr>
              <w:spacing w:after="0"/>
            </w:pPr>
            <w:r>
              <w:rPr>
                <w:b/>
                <w:sz w:val="18"/>
              </w:rPr>
              <w:t>MAPE</w:t>
            </w:r>
          </w:p>
        </w:tc>
        <w:tc>
          <w:tcPr>
            <w:tcW w:type="dxa" w:w="2016"/>
            <w:vAlign w:val="center"/>
            <w:shd w:fill="D9EAF7"/>
          </w:tcPr>
          <w:p>
            <w:pPr>
              <w:spacing w:after="0"/>
            </w:pPr>
            <w:r>
              <w:rPr>
                <w:b/>
                <w:sz w:val="18"/>
              </w:rPr>
              <w:t>MedAE</w:t>
            </w:r>
          </w:p>
        </w:tc>
      </w:tr>
      <w:tr>
        <w:tc>
          <w:tcPr>
            <w:tcW w:type="dxa" w:w="2016"/>
            <w:vAlign w:val="center"/>
          </w:tcPr>
          <w:p>
            <w:pPr>
              <w:spacing w:after="0"/>
            </w:pPr>
            <w:r>
              <w:rPr>
                <w:sz w:val="18"/>
              </w:rPr>
              <w:t>1</w:t>
            </w:r>
          </w:p>
        </w:tc>
        <w:tc>
          <w:tcPr>
            <w:tcW w:type="dxa" w:w="2016"/>
            <w:vAlign w:val="center"/>
          </w:tcPr>
          <w:p>
            <w:pPr>
              <w:spacing w:after="0"/>
            </w:pPr>
            <w:r>
              <w:rPr>
                <w:sz w:val="18"/>
              </w:rPr>
              <w:t>0.4475</w:t>
            </w:r>
          </w:p>
        </w:tc>
        <w:tc>
          <w:tcPr>
            <w:tcW w:type="dxa" w:w="2016"/>
            <w:vAlign w:val="center"/>
          </w:tcPr>
          <w:p>
            <w:pPr>
              <w:spacing w:after="0"/>
            </w:pPr>
            <w:r>
              <w:rPr>
                <w:sz w:val="18"/>
              </w:rPr>
              <w:t>0.4955</w:t>
            </w:r>
          </w:p>
        </w:tc>
        <w:tc>
          <w:tcPr>
            <w:tcW w:type="dxa" w:w="2016"/>
            <w:vAlign w:val="center"/>
          </w:tcPr>
          <w:p>
            <w:pPr>
              <w:spacing w:after="0"/>
            </w:pPr>
            <w:r>
              <w:rPr>
                <w:sz w:val="18"/>
              </w:rPr>
              <w:t>0.1984</w:t>
            </w:r>
          </w:p>
        </w:tc>
        <w:tc>
          <w:tcPr>
            <w:tcW w:type="dxa" w:w="2016"/>
            <w:vAlign w:val="center"/>
          </w:tcPr>
          <w:p>
            <w:pPr>
              <w:spacing w:after="0"/>
            </w:pPr>
            <w:r>
              <w:rPr>
                <w:sz w:val="18"/>
              </w:rPr>
              <w:t>0.4728</w:t>
            </w:r>
          </w:p>
        </w:tc>
      </w:tr>
      <w:tr>
        <w:tc>
          <w:tcPr>
            <w:tcW w:type="dxa" w:w="2016"/>
            <w:vAlign w:val="center"/>
          </w:tcPr>
          <w:p>
            <w:pPr>
              <w:spacing w:after="0"/>
            </w:pPr>
            <w:r>
              <w:rPr>
                <w:sz w:val="18"/>
              </w:rPr>
              <w:t>2</w:t>
            </w:r>
          </w:p>
        </w:tc>
        <w:tc>
          <w:tcPr>
            <w:tcW w:type="dxa" w:w="2016"/>
            <w:vAlign w:val="center"/>
          </w:tcPr>
          <w:p>
            <w:pPr>
              <w:spacing w:after="0"/>
            </w:pPr>
            <w:r>
              <w:rPr>
                <w:sz w:val="18"/>
              </w:rPr>
              <w:t>0.5498</w:t>
            </w:r>
          </w:p>
        </w:tc>
        <w:tc>
          <w:tcPr>
            <w:tcW w:type="dxa" w:w="2016"/>
            <w:vAlign w:val="center"/>
          </w:tcPr>
          <w:p>
            <w:pPr>
              <w:spacing w:after="0"/>
            </w:pPr>
            <w:r>
              <w:rPr>
                <w:sz w:val="18"/>
              </w:rPr>
              <w:t>0.7990</w:t>
            </w:r>
          </w:p>
        </w:tc>
        <w:tc>
          <w:tcPr>
            <w:tcW w:type="dxa" w:w="2016"/>
            <w:vAlign w:val="center"/>
          </w:tcPr>
          <w:p>
            <w:pPr>
              <w:spacing w:after="0"/>
            </w:pPr>
            <w:r>
              <w:rPr>
                <w:sz w:val="18"/>
              </w:rPr>
              <w:t>0.2337</w:t>
            </w:r>
          </w:p>
        </w:tc>
        <w:tc>
          <w:tcPr>
            <w:tcW w:type="dxa" w:w="2016"/>
            <w:vAlign w:val="center"/>
          </w:tcPr>
          <w:p>
            <w:pPr>
              <w:spacing w:after="0"/>
            </w:pPr>
            <w:r>
              <w:rPr>
                <w:sz w:val="18"/>
              </w:rPr>
              <w:t>0.3540</w:t>
            </w:r>
          </w:p>
        </w:tc>
      </w:tr>
      <w:tr>
        <w:tc>
          <w:tcPr>
            <w:tcW w:type="dxa" w:w="2016"/>
            <w:vAlign w:val="center"/>
          </w:tcPr>
          <w:p>
            <w:pPr>
              <w:spacing w:after="0"/>
            </w:pPr>
            <w:r>
              <w:rPr>
                <w:sz w:val="18"/>
              </w:rPr>
              <w:t>3</w:t>
            </w:r>
          </w:p>
        </w:tc>
        <w:tc>
          <w:tcPr>
            <w:tcW w:type="dxa" w:w="2016"/>
            <w:vAlign w:val="center"/>
          </w:tcPr>
          <w:p>
            <w:pPr>
              <w:spacing w:after="0"/>
            </w:pPr>
            <w:r>
              <w:rPr>
                <w:sz w:val="18"/>
              </w:rPr>
              <w:t>0.6754</w:t>
            </w:r>
          </w:p>
        </w:tc>
        <w:tc>
          <w:tcPr>
            <w:tcW w:type="dxa" w:w="2016"/>
            <w:vAlign w:val="center"/>
          </w:tcPr>
          <w:p>
            <w:pPr>
              <w:spacing w:after="0"/>
            </w:pPr>
            <w:r>
              <w:rPr>
                <w:sz w:val="18"/>
              </w:rPr>
              <w:t>0.9916</w:t>
            </w:r>
          </w:p>
        </w:tc>
        <w:tc>
          <w:tcPr>
            <w:tcW w:type="dxa" w:w="2016"/>
            <w:vAlign w:val="center"/>
          </w:tcPr>
          <w:p>
            <w:pPr>
              <w:spacing w:after="0"/>
            </w:pPr>
            <w:r>
              <w:rPr>
                <w:sz w:val="18"/>
              </w:rPr>
              <w:t>0.2270</w:t>
            </w:r>
          </w:p>
        </w:tc>
        <w:tc>
          <w:tcPr>
            <w:tcW w:type="dxa" w:w="2016"/>
            <w:vAlign w:val="center"/>
          </w:tcPr>
          <w:p>
            <w:pPr>
              <w:spacing w:after="0"/>
            </w:pPr>
            <w:r>
              <w:rPr>
                <w:sz w:val="18"/>
              </w:rPr>
              <w:t>0.4358</w:t>
            </w:r>
          </w:p>
        </w:tc>
      </w:tr>
      <w:tr>
        <w:tc>
          <w:tcPr>
            <w:tcW w:type="dxa" w:w="2016"/>
            <w:vAlign w:val="center"/>
          </w:tcPr>
          <w:p>
            <w:pPr>
              <w:spacing w:after="0"/>
            </w:pPr>
            <w:r>
              <w:rPr>
                <w:sz w:val="18"/>
              </w:rPr>
              <w:t>24</w:t>
            </w:r>
          </w:p>
        </w:tc>
        <w:tc>
          <w:tcPr>
            <w:tcW w:type="dxa" w:w="2016"/>
            <w:vAlign w:val="center"/>
          </w:tcPr>
          <w:p>
            <w:pPr>
              <w:spacing w:after="0"/>
            </w:pPr>
            <w:r>
              <w:rPr>
                <w:sz w:val="18"/>
              </w:rPr>
              <w:t>0.4114</w:t>
            </w:r>
          </w:p>
        </w:tc>
        <w:tc>
          <w:tcPr>
            <w:tcW w:type="dxa" w:w="2016"/>
            <w:vAlign w:val="center"/>
          </w:tcPr>
          <w:p>
            <w:pPr>
              <w:spacing w:after="0"/>
            </w:pPr>
            <w:r>
              <w:rPr>
                <w:sz w:val="18"/>
              </w:rPr>
              <w:t>0.4599</w:t>
            </w:r>
          </w:p>
        </w:tc>
        <w:tc>
          <w:tcPr>
            <w:tcW w:type="dxa" w:w="2016"/>
            <w:vAlign w:val="center"/>
          </w:tcPr>
          <w:p>
            <w:pPr>
              <w:spacing w:after="0"/>
            </w:pPr>
            <w:r>
              <w:rPr>
                <w:sz w:val="18"/>
              </w:rPr>
              <w:t>0.1859</w:t>
            </w:r>
          </w:p>
        </w:tc>
        <w:tc>
          <w:tcPr>
            <w:tcW w:type="dxa" w:w="2016"/>
            <w:vAlign w:val="center"/>
          </w:tcPr>
          <w:p>
            <w:pPr>
              <w:spacing w:after="0"/>
            </w:pPr>
            <w:r>
              <w:rPr>
                <w:sz w:val="18"/>
              </w:rPr>
              <w:t>0.3992</w:t>
            </w:r>
          </w:p>
        </w:tc>
      </w:tr>
    </w:tbl>
    <w:p/>
    <w:p>
      <w:pPr>
        <w:pStyle w:val="Heading2"/>
      </w:pPr>
      <w:r>
        <w:t>Autumn - Best Model H</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Pr>
                <w:b/>
                <w:sz w:val="18"/>
              </w:rPr>
              <w:t>Horizon</w:t>
            </w:r>
          </w:p>
        </w:tc>
        <w:tc>
          <w:tcPr>
            <w:tcW w:type="dxa" w:w="2016"/>
            <w:vAlign w:val="center"/>
            <w:shd w:fill="D9EAF7"/>
          </w:tcPr>
          <w:p>
            <w:pPr>
              <w:spacing w:after="0"/>
            </w:pPr>
            <w:r>
              <w:rPr>
                <w:b/>
                <w:sz w:val="18"/>
              </w:rPr>
              <w:t>MAE</w:t>
            </w:r>
          </w:p>
        </w:tc>
        <w:tc>
          <w:tcPr>
            <w:tcW w:type="dxa" w:w="2016"/>
            <w:vAlign w:val="center"/>
            <w:shd w:fill="D9EAF7"/>
          </w:tcPr>
          <w:p>
            <w:pPr>
              <w:spacing w:after="0"/>
            </w:pPr>
            <w:r>
              <w:rPr>
                <w:b/>
                <w:sz w:val="18"/>
              </w:rPr>
              <w:t>RMSE</w:t>
            </w:r>
          </w:p>
        </w:tc>
        <w:tc>
          <w:tcPr>
            <w:tcW w:type="dxa" w:w="2016"/>
            <w:vAlign w:val="center"/>
            <w:shd w:fill="D9EAF7"/>
          </w:tcPr>
          <w:p>
            <w:pPr>
              <w:spacing w:after="0"/>
            </w:pPr>
            <w:r>
              <w:rPr>
                <w:b/>
                <w:sz w:val="18"/>
              </w:rPr>
              <w:t>MAPE</w:t>
            </w:r>
          </w:p>
        </w:tc>
        <w:tc>
          <w:tcPr>
            <w:tcW w:type="dxa" w:w="2016"/>
            <w:vAlign w:val="center"/>
            <w:shd w:fill="D9EAF7"/>
          </w:tcPr>
          <w:p>
            <w:pPr>
              <w:spacing w:after="0"/>
            </w:pPr>
            <w:r>
              <w:rPr>
                <w:b/>
                <w:sz w:val="18"/>
              </w:rPr>
              <w:t>MedAE</w:t>
            </w:r>
          </w:p>
        </w:tc>
      </w:tr>
      <w:tr>
        <w:tc>
          <w:tcPr>
            <w:tcW w:type="dxa" w:w="2016"/>
            <w:vAlign w:val="center"/>
          </w:tcPr>
          <w:p>
            <w:pPr>
              <w:spacing w:after="0"/>
            </w:pPr>
            <w:r>
              <w:rPr>
                <w:sz w:val="18"/>
              </w:rPr>
              <w:t>1</w:t>
            </w:r>
          </w:p>
        </w:tc>
        <w:tc>
          <w:tcPr>
            <w:tcW w:type="dxa" w:w="2016"/>
            <w:vAlign w:val="center"/>
          </w:tcPr>
          <w:p>
            <w:pPr>
              <w:spacing w:after="0"/>
            </w:pPr>
            <w:r>
              <w:rPr>
                <w:sz w:val="18"/>
              </w:rPr>
              <w:t>1.3404</w:t>
            </w:r>
          </w:p>
        </w:tc>
        <w:tc>
          <w:tcPr>
            <w:tcW w:type="dxa" w:w="2016"/>
            <w:vAlign w:val="center"/>
          </w:tcPr>
          <w:p>
            <w:pPr>
              <w:spacing w:after="0"/>
            </w:pPr>
            <w:r>
              <w:rPr>
                <w:sz w:val="18"/>
              </w:rPr>
              <w:t>1.4364</w:t>
            </w:r>
          </w:p>
        </w:tc>
        <w:tc>
          <w:tcPr>
            <w:tcW w:type="dxa" w:w="2016"/>
            <w:vAlign w:val="center"/>
          </w:tcPr>
          <w:p>
            <w:pPr>
              <w:spacing w:after="0"/>
            </w:pPr>
            <w:r>
              <w:rPr>
                <w:sz w:val="18"/>
              </w:rPr>
              <w:t>0.6570</w:t>
            </w:r>
          </w:p>
        </w:tc>
        <w:tc>
          <w:tcPr>
            <w:tcW w:type="dxa" w:w="2016"/>
            <w:vAlign w:val="center"/>
          </w:tcPr>
          <w:p>
            <w:pPr>
              <w:spacing w:after="0"/>
            </w:pPr>
            <w:r>
              <w:rPr>
                <w:sz w:val="18"/>
              </w:rPr>
              <w:t>1.2158</w:t>
            </w:r>
          </w:p>
        </w:tc>
      </w:tr>
      <w:tr>
        <w:tc>
          <w:tcPr>
            <w:tcW w:type="dxa" w:w="2016"/>
            <w:vAlign w:val="center"/>
          </w:tcPr>
          <w:p>
            <w:pPr>
              <w:spacing w:after="0"/>
            </w:pPr>
            <w:r>
              <w:rPr>
                <w:sz w:val="18"/>
              </w:rPr>
              <w:t>2</w:t>
            </w:r>
          </w:p>
        </w:tc>
        <w:tc>
          <w:tcPr>
            <w:tcW w:type="dxa" w:w="2016"/>
            <w:vAlign w:val="center"/>
          </w:tcPr>
          <w:p>
            <w:pPr>
              <w:spacing w:after="0"/>
            </w:pPr>
            <w:r>
              <w:rPr>
                <w:sz w:val="18"/>
              </w:rPr>
              <w:t>1.3050</w:t>
            </w:r>
          </w:p>
        </w:tc>
        <w:tc>
          <w:tcPr>
            <w:tcW w:type="dxa" w:w="2016"/>
            <w:vAlign w:val="center"/>
          </w:tcPr>
          <w:p>
            <w:pPr>
              <w:spacing w:after="0"/>
            </w:pPr>
            <w:r>
              <w:rPr>
                <w:sz w:val="18"/>
              </w:rPr>
              <w:t>1.5396</w:t>
            </w:r>
          </w:p>
        </w:tc>
        <w:tc>
          <w:tcPr>
            <w:tcW w:type="dxa" w:w="2016"/>
            <w:vAlign w:val="center"/>
          </w:tcPr>
          <w:p>
            <w:pPr>
              <w:spacing w:after="0"/>
            </w:pPr>
            <w:r>
              <w:rPr>
                <w:sz w:val="18"/>
              </w:rPr>
              <w:t>0.5476</w:t>
            </w:r>
          </w:p>
        </w:tc>
        <w:tc>
          <w:tcPr>
            <w:tcW w:type="dxa" w:w="2016"/>
            <w:vAlign w:val="center"/>
          </w:tcPr>
          <w:p>
            <w:pPr>
              <w:spacing w:after="0"/>
            </w:pPr>
            <w:r>
              <w:rPr>
                <w:sz w:val="18"/>
              </w:rPr>
              <w:t>1.3001</w:t>
            </w:r>
          </w:p>
        </w:tc>
      </w:tr>
      <w:tr>
        <w:tc>
          <w:tcPr>
            <w:tcW w:type="dxa" w:w="2016"/>
            <w:vAlign w:val="center"/>
          </w:tcPr>
          <w:p>
            <w:pPr>
              <w:spacing w:after="0"/>
            </w:pPr>
            <w:r>
              <w:rPr>
                <w:sz w:val="18"/>
              </w:rPr>
              <w:t>3</w:t>
            </w:r>
          </w:p>
        </w:tc>
        <w:tc>
          <w:tcPr>
            <w:tcW w:type="dxa" w:w="2016"/>
            <w:vAlign w:val="center"/>
          </w:tcPr>
          <w:p>
            <w:pPr>
              <w:spacing w:after="0"/>
            </w:pPr>
            <w:r>
              <w:rPr>
                <w:sz w:val="18"/>
              </w:rPr>
              <w:t>1.9761</w:t>
            </w:r>
          </w:p>
        </w:tc>
        <w:tc>
          <w:tcPr>
            <w:tcW w:type="dxa" w:w="2016"/>
            <w:vAlign w:val="center"/>
          </w:tcPr>
          <w:p>
            <w:pPr>
              <w:spacing w:after="0"/>
            </w:pPr>
            <w:r>
              <w:rPr>
                <w:sz w:val="18"/>
              </w:rPr>
              <w:t>2.3692</w:t>
            </w:r>
          </w:p>
        </w:tc>
        <w:tc>
          <w:tcPr>
            <w:tcW w:type="dxa" w:w="2016"/>
            <w:vAlign w:val="center"/>
          </w:tcPr>
          <w:p>
            <w:pPr>
              <w:spacing w:after="0"/>
            </w:pPr>
            <w:r>
              <w:rPr>
                <w:sz w:val="18"/>
              </w:rPr>
              <w:t>0.6239</w:t>
            </w:r>
          </w:p>
        </w:tc>
        <w:tc>
          <w:tcPr>
            <w:tcW w:type="dxa" w:w="2016"/>
            <w:vAlign w:val="center"/>
          </w:tcPr>
          <w:p>
            <w:pPr>
              <w:spacing w:after="0"/>
            </w:pPr>
            <w:r>
              <w:rPr>
                <w:sz w:val="18"/>
              </w:rPr>
              <w:t>1.4874</w:t>
            </w:r>
          </w:p>
        </w:tc>
      </w:tr>
      <w:tr>
        <w:tc>
          <w:tcPr>
            <w:tcW w:type="dxa" w:w="2016"/>
            <w:vAlign w:val="center"/>
          </w:tcPr>
          <w:p>
            <w:pPr>
              <w:spacing w:after="0"/>
            </w:pPr>
            <w:r>
              <w:rPr>
                <w:sz w:val="18"/>
              </w:rPr>
              <w:t>24</w:t>
            </w:r>
          </w:p>
        </w:tc>
        <w:tc>
          <w:tcPr>
            <w:tcW w:type="dxa" w:w="2016"/>
            <w:vAlign w:val="center"/>
          </w:tcPr>
          <w:p>
            <w:pPr>
              <w:spacing w:after="0"/>
            </w:pPr>
            <w:r>
              <w:rPr>
                <w:sz w:val="18"/>
              </w:rPr>
              <w:t>1.1912</w:t>
            </w:r>
          </w:p>
        </w:tc>
        <w:tc>
          <w:tcPr>
            <w:tcW w:type="dxa" w:w="2016"/>
            <w:vAlign w:val="center"/>
          </w:tcPr>
          <w:p>
            <w:pPr>
              <w:spacing w:after="0"/>
            </w:pPr>
            <w:r>
              <w:rPr>
                <w:sz w:val="18"/>
              </w:rPr>
              <w:t>1.3760</w:t>
            </w:r>
          </w:p>
        </w:tc>
        <w:tc>
          <w:tcPr>
            <w:tcW w:type="dxa" w:w="2016"/>
            <w:vAlign w:val="center"/>
          </w:tcPr>
          <w:p>
            <w:pPr>
              <w:spacing w:after="0"/>
            </w:pPr>
            <w:r>
              <w:rPr>
                <w:sz w:val="18"/>
              </w:rPr>
              <w:t>0.4778</w:t>
            </w:r>
          </w:p>
        </w:tc>
        <w:tc>
          <w:tcPr>
            <w:tcW w:type="dxa" w:w="2016"/>
            <w:vAlign w:val="center"/>
          </w:tcPr>
          <w:p>
            <w:pPr>
              <w:spacing w:after="0"/>
            </w:pPr>
            <w:r>
              <w:rPr>
                <w:sz w:val="18"/>
              </w:rPr>
              <w:t>1.3085</w:t>
            </w:r>
          </w:p>
        </w:tc>
      </w:tr>
    </w:tbl>
    <w:p/>
    <w:p>
      <w:pPr>
        <w:pStyle w:val="Heading2"/>
      </w:pPr>
      <w:r>
        <w:t>Winter - Best Model H</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Pr>
                <w:b/>
                <w:sz w:val="18"/>
              </w:rPr>
              <w:t>Horizon</w:t>
            </w:r>
          </w:p>
        </w:tc>
        <w:tc>
          <w:tcPr>
            <w:tcW w:type="dxa" w:w="2016"/>
            <w:vAlign w:val="center"/>
            <w:shd w:fill="D9EAF7"/>
          </w:tcPr>
          <w:p>
            <w:pPr>
              <w:spacing w:after="0"/>
            </w:pPr>
            <w:r>
              <w:rPr>
                <w:b/>
                <w:sz w:val="18"/>
              </w:rPr>
              <w:t>MAE</w:t>
            </w:r>
          </w:p>
        </w:tc>
        <w:tc>
          <w:tcPr>
            <w:tcW w:type="dxa" w:w="2016"/>
            <w:vAlign w:val="center"/>
            <w:shd w:fill="D9EAF7"/>
          </w:tcPr>
          <w:p>
            <w:pPr>
              <w:spacing w:after="0"/>
            </w:pPr>
            <w:r>
              <w:rPr>
                <w:b/>
                <w:sz w:val="18"/>
              </w:rPr>
              <w:t>RMSE</w:t>
            </w:r>
          </w:p>
        </w:tc>
        <w:tc>
          <w:tcPr>
            <w:tcW w:type="dxa" w:w="2016"/>
            <w:vAlign w:val="center"/>
            <w:shd w:fill="D9EAF7"/>
          </w:tcPr>
          <w:p>
            <w:pPr>
              <w:spacing w:after="0"/>
            </w:pPr>
            <w:r>
              <w:rPr>
                <w:b/>
                <w:sz w:val="18"/>
              </w:rPr>
              <w:t>MAPE</w:t>
            </w:r>
          </w:p>
        </w:tc>
        <w:tc>
          <w:tcPr>
            <w:tcW w:type="dxa" w:w="2016"/>
            <w:vAlign w:val="center"/>
            <w:shd w:fill="D9EAF7"/>
          </w:tcPr>
          <w:p>
            <w:pPr>
              <w:spacing w:after="0"/>
            </w:pPr>
            <w:r>
              <w:rPr>
                <w:b/>
                <w:sz w:val="18"/>
              </w:rPr>
              <w:t>MedAE</w:t>
            </w:r>
          </w:p>
        </w:tc>
      </w:tr>
      <w:tr>
        <w:tc>
          <w:tcPr>
            <w:tcW w:type="dxa" w:w="2016"/>
            <w:vAlign w:val="center"/>
          </w:tcPr>
          <w:p>
            <w:pPr>
              <w:spacing w:after="0"/>
            </w:pPr>
            <w:r>
              <w:rPr>
                <w:sz w:val="18"/>
              </w:rPr>
              <w:t>1</w:t>
            </w:r>
          </w:p>
        </w:tc>
        <w:tc>
          <w:tcPr>
            <w:tcW w:type="dxa" w:w="2016"/>
            <w:vAlign w:val="center"/>
          </w:tcPr>
          <w:p>
            <w:pPr>
              <w:spacing w:after="0"/>
            </w:pPr>
            <w:r>
              <w:rPr>
                <w:sz w:val="18"/>
              </w:rPr>
              <w:t>4.6769</w:t>
            </w:r>
          </w:p>
        </w:tc>
        <w:tc>
          <w:tcPr>
            <w:tcW w:type="dxa" w:w="2016"/>
            <w:vAlign w:val="center"/>
          </w:tcPr>
          <w:p>
            <w:pPr>
              <w:spacing w:after="0"/>
            </w:pPr>
            <w:r>
              <w:rPr>
                <w:sz w:val="18"/>
              </w:rPr>
              <w:t>5.4413</w:t>
            </w:r>
          </w:p>
        </w:tc>
        <w:tc>
          <w:tcPr>
            <w:tcW w:type="dxa" w:w="2016"/>
            <w:vAlign w:val="center"/>
          </w:tcPr>
          <w:p>
            <w:pPr>
              <w:spacing w:after="0"/>
            </w:pPr>
            <w:r>
              <w:rPr>
                <w:sz w:val="18"/>
              </w:rPr>
              <w:t>0.5606</w:t>
            </w:r>
          </w:p>
        </w:tc>
        <w:tc>
          <w:tcPr>
            <w:tcW w:type="dxa" w:w="2016"/>
            <w:vAlign w:val="center"/>
          </w:tcPr>
          <w:p>
            <w:pPr>
              <w:spacing w:after="0"/>
            </w:pPr>
            <w:r>
              <w:rPr>
                <w:sz w:val="18"/>
              </w:rPr>
              <w:t>4.4208</w:t>
            </w:r>
          </w:p>
        </w:tc>
      </w:tr>
      <w:tr>
        <w:tc>
          <w:tcPr>
            <w:tcW w:type="dxa" w:w="2016"/>
            <w:vAlign w:val="center"/>
          </w:tcPr>
          <w:p>
            <w:pPr>
              <w:spacing w:after="0"/>
            </w:pPr>
            <w:r>
              <w:rPr>
                <w:sz w:val="18"/>
              </w:rPr>
              <w:t>2</w:t>
            </w:r>
          </w:p>
        </w:tc>
        <w:tc>
          <w:tcPr>
            <w:tcW w:type="dxa" w:w="2016"/>
            <w:vAlign w:val="center"/>
          </w:tcPr>
          <w:p>
            <w:pPr>
              <w:spacing w:after="0"/>
            </w:pPr>
            <w:r>
              <w:rPr>
                <w:sz w:val="18"/>
              </w:rPr>
              <w:t>4.6937</w:t>
            </w:r>
          </w:p>
        </w:tc>
        <w:tc>
          <w:tcPr>
            <w:tcW w:type="dxa" w:w="2016"/>
            <w:vAlign w:val="center"/>
          </w:tcPr>
          <w:p>
            <w:pPr>
              <w:spacing w:after="0"/>
            </w:pPr>
            <w:r>
              <w:rPr>
                <w:sz w:val="18"/>
              </w:rPr>
              <w:t>5.4636</w:t>
            </w:r>
          </w:p>
        </w:tc>
        <w:tc>
          <w:tcPr>
            <w:tcW w:type="dxa" w:w="2016"/>
            <w:vAlign w:val="center"/>
          </w:tcPr>
          <w:p>
            <w:pPr>
              <w:spacing w:after="0"/>
            </w:pPr>
            <w:r>
              <w:rPr>
                <w:sz w:val="18"/>
              </w:rPr>
              <w:t>0.6400</w:t>
            </w:r>
          </w:p>
        </w:tc>
        <w:tc>
          <w:tcPr>
            <w:tcW w:type="dxa" w:w="2016"/>
            <w:vAlign w:val="center"/>
          </w:tcPr>
          <w:p>
            <w:pPr>
              <w:spacing w:after="0"/>
            </w:pPr>
            <w:r>
              <w:rPr>
                <w:sz w:val="18"/>
              </w:rPr>
              <w:t>4.5417</w:t>
            </w:r>
          </w:p>
        </w:tc>
      </w:tr>
      <w:tr>
        <w:tc>
          <w:tcPr>
            <w:tcW w:type="dxa" w:w="2016"/>
            <w:vAlign w:val="center"/>
          </w:tcPr>
          <w:p>
            <w:pPr>
              <w:spacing w:after="0"/>
            </w:pPr>
            <w:r>
              <w:rPr>
                <w:sz w:val="18"/>
              </w:rPr>
              <w:t>3</w:t>
            </w:r>
          </w:p>
        </w:tc>
        <w:tc>
          <w:tcPr>
            <w:tcW w:type="dxa" w:w="2016"/>
            <w:vAlign w:val="center"/>
          </w:tcPr>
          <w:p>
            <w:pPr>
              <w:spacing w:after="0"/>
            </w:pPr>
            <w:r>
              <w:rPr>
                <w:sz w:val="18"/>
              </w:rPr>
              <w:t>4.5150</w:t>
            </w:r>
          </w:p>
        </w:tc>
        <w:tc>
          <w:tcPr>
            <w:tcW w:type="dxa" w:w="2016"/>
            <w:vAlign w:val="center"/>
          </w:tcPr>
          <w:p>
            <w:pPr>
              <w:spacing w:after="0"/>
            </w:pPr>
            <w:r>
              <w:rPr>
                <w:sz w:val="18"/>
              </w:rPr>
              <w:t>5.4403</w:t>
            </w:r>
          </w:p>
        </w:tc>
        <w:tc>
          <w:tcPr>
            <w:tcW w:type="dxa" w:w="2016"/>
            <w:vAlign w:val="center"/>
          </w:tcPr>
          <w:p>
            <w:pPr>
              <w:spacing w:after="0"/>
            </w:pPr>
            <w:r>
              <w:rPr>
                <w:sz w:val="18"/>
              </w:rPr>
              <w:t>0.5600</w:t>
            </w:r>
          </w:p>
        </w:tc>
        <w:tc>
          <w:tcPr>
            <w:tcW w:type="dxa" w:w="2016"/>
            <w:vAlign w:val="center"/>
          </w:tcPr>
          <w:p>
            <w:pPr>
              <w:spacing w:after="0"/>
            </w:pPr>
            <w:r>
              <w:rPr>
                <w:sz w:val="18"/>
              </w:rPr>
              <w:t>4.4914</w:t>
            </w:r>
          </w:p>
        </w:tc>
      </w:tr>
      <w:tr>
        <w:tc>
          <w:tcPr>
            <w:tcW w:type="dxa" w:w="2016"/>
            <w:vAlign w:val="center"/>
          </w:tcPr>
          <w:p>
            <w:pPr>
              <w:spacing w:after="0"/>
            </w:pPr>
            <w:r>
              <w:rPr>
                <w:sz w:val="18"/>
              </w:rPr>
              <w:t>24</w:t>
            </w:r>
          </w:p>
        </w:tc>
        <w:tc>
          <w:tcPr>
            <w:tcW w:type="dxa" w:w="2016"/>
            <w:vAlign w:val="center"/>
          </w:tcPr>
          <w:p>
            <w:pPr>
              <w:spacing w:after="0"/>
            </w:pPr>
            <w:r>
              <w:rPr>
                <w:sz w:val="18"/>
              </w:rPr>
              <w:t>4.5732</w:t>
            </w:r>
          </w:p>
        </w:tc>
        <w:tc>
          <w:tcPr>
            <w:tcW w:type="dxa" w:w="2016"/>
            <w:vAlign w:val="center"/>
          </w:tcPr>
          <w:p>
            <w:pPr>
              <w:spacing w:after="0"/>
            </w:pPr>
            <w:r>
              <w:rPr>
                <w:sz w:val="18"/>
              </w:rPr>
              <w:t>5.3818</w:t>
            </w:r>
          </w:p>
        </w:tc>
        <w:tc>
          <w:tcPr>
            <w:tcW w:type="dxa" w:w="2016"/>
            <w:vAlign w:val="center"/>
          </w:tcPr>
          <w:p>
            <w:pPr>
              <w:spacing w:after="0"/>
            </w:pPr>
            <w:r>
              <w:rPr>
                <w:sz w:val="18"/>
              </w:rPr>
              <w:t>0.5616</w:t>
            </w:r>
          </w:p>
        </w:tc>
        <w:tc>
          <w:tcPr>
            <w:tcW w:type="dxa" w:w="2016"/>
            <w:vAlign w:val="center"/>
          </w:tcPr>
          <w:p>
            <w:pPr>
              <w:spacing w:after="0"/>
            </w:pPr>
            <w:r>
              <w:rPr>
                <w:sz w:val="18"/>
              </w:rPr>
              <w:t>4.9804</w:t>
            </w:r>
          </w:p>
        </w:tc>
      </w:tr>
    </w:tbl>
    <w:p/>
    <w:p>
      <w:pPr>
        <w:pStyle w:val="Heading1"/>
      </w:pPr>
      <w:r>
        <w:t>9. Probabilistic Forecast Interval Results</w:t>
      </w:r>
    </w:p>
    <w:p>
      <w:pPr>
        <w:spacing w:after="120"/>
      </w:pPr>
      <w:r>
        <w:t>Prediction intervals were generated using bootstrap, conformal, and quantile methods. Coverage means the proportion of actual values captured inside the predicted interval. Average width measures how wide the intervals are. Higher coverage is better, but very wide intervals are less precise.</w:t>
      </w:r>
    </w:p>
    <w:p>
      <w:pPr>
        <w:pStyle w:val="Heading2"/>
      </w:pPr>
      <w:r>
        <w:t>Spring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Method</w:t>
            </w:r>
          </w:p>
        </w:tc>
        <w:tc>
          <w:tcPr>
            <w:tcW w:type="dxa" w:w="3360"/>
            <w:vAlign w:val="center"/>
            <w:shd w:fill="D9EAF7"/>
          </w:tcPr>
          <w:p>
            <w:pPr>
              <w:spacing w:after="0"/>
            </w:pPr>
            <w:r>
              <w:rPr>
                <w:b/>
                <w:sz w:val="18"/>
              </w:rPr>
              <w:t>Coverage</w:t>
            </w:r>
          </w:p>
        </w:tc>
        <w:tc>
          <w:tcPr>
            <w:tcW w:type="dxa" w:w="3360"/>
            <w:vAlign w:val="center"/>
            <w:shd w:fill="D9EAF7"/>
          </w:tcPr>
          <w:p>
            <w:pPr>
              <w:spacing w:after="0"/>
            </w:pPr>
            <w:r>
              <w:rPr>
                <w:b/>
                <w:sz w:val="18"/>
              </w:rPr>
              <w:t>Average Width</w:t>
            </w:r>
          </w:p>
        </w:tc>
      </w:tr>
      <w:tr>
        <w:tc>
          <w:tcPr>
            <w:tcW w:type="dxa" w:w="3360"/>
            <w:vAlign w:val="center"/>
          </w:tcPr>
          <w:p>
            <w:pPr>
              <w:spacing w:after="0"/>
            </w:pPr>
            <w:r>
              <w:rPr>
                <w:sz w:val="18"/>
              </w:rPr>
              <w:t>Bootstrap</w:t>
            </w:r>
          </w:p>
        </w:tc>
        <w:tc>
          <w:tcPr>
            <w:tcW w:type="dxa" w:w="3360"/>
            <w:vAlign w:val="center"/>
          </w:tcPr>
          <w:p>
            <w:pPr>
              <w:spacing w:after="0"/>
            </w:pPr>
            <w:r>
              <w:rPr>
                <w:sz w:val="18"/>
              </w:rPr>
              <w:t>0.4583</w:t>
            </w:r>
          </w:p>
        </w:tc>
        <w:tc>
          <w:tcPr>
            <w:tcW w:type="dxa" w:w="3360"/>
            <w:vAlign w:val="center"/>
          </w:tcPr>
          <w:p>
            <w:pPr>
              <w:spacing w:after="0"/>
            </w:pPr>
            <w:r>
              <w:rPr>
                <w:sz w:val="18"/>
              </w:rPr>
              <w:t>4.1835</w:t>
            </w:r>
          </w:p>
        </w:tc>
      </w:tr>
      <w:tr>
        <w:tc>
          <w:tcPr>
            <w:tcW w:type="dxa" w:w="3360"/>
            <w:vAlign w:val="center"/>
          </w:tcPr>
          <w:p>
            <w:pPr>
              <w:spacing w:after="0"/>
            </w:pPr>
            <w:r>
              <w:rPr>
                <w:sz w:val="18"/>
              </w:rPr>
              <w:t>Conformal</w:t>
            </w:r>
          </w:p>
        </w:tc>
        <w:tc>
          <w:tcPr>
            <w:tcW w:type="dxa" w:w="3360"/>
            <w:vAlign w:val="center"/>
          </w:tcPr>
          <w:p>
            <w:pPr>
              <w:spacing w:after="0"/>
            </w:pPr>
            <w:r>
              <w:rPr>
                <w:sz w:val="18"/>
              </w:rPr>
              <w:t>0.8750</w:t>
            </w:r>
          </w:p>
        </w:tc>
        <w:tc>
          <w:tcPr>
            <w:tcW w:type="dxa" w:w="3360"/>
            <w:vAlign w:val="center"/>
          </w:tcPr>
          <w:p>
            <w:pPr>
              <w:spacing w:after="0"/>
            </w:pPr>
            <w:r>
              <w:rPr>
                <w:sz w:val="18"/>
              </w:rPr>
              <w:t>8.9250</w:t>
            </w:r>
          </w:p>
        </w:tc>
      </w:tr>
      <w:tr>
        <w:tc>
          <w:tcPr>
            <w:tcW w:type="dxa" w:w="3360"/>
            <w:vAlign w:val="center"/>
          </w:tcPr>
          <w:p>
            <w:pPr>
              <w:spacing w:after="0"/>
            </w:pPr>
            <w:r>
              <w:rPr>
                <w:sz w:val="18"/>
              </w:rPr>
              <w:t>Quantile</w:t>
            </w:r>
          </w:p>
        </w:tc>
        <w:tc>
          <w:tcPr>
            <w:tcW w:type="dxa" w:w="3360"/>
            <w:vAlign w:val="center"/>
          </w:tcPr>
          <w:p>
            <w:pPr>
              <w:spacing w:after="0"/>
            </w:pPr>
            <w:r>
              <w:rPr>
                <w:sz w:val="18"/>
              </w:rPr>
              <w:t>0.5833</w:t>
            </w:r>
          </w:p>
        </w:tc>
        <w:tc>
          <w:tcPr>
            <w:tcW w:type="dxa" w:w="3360"/>
            <w:vAlign w:val="center"/>
          </w:tcPr>
          <w:p>
            <w:pPr>
              <w:spacing w:after="0"/>
            </w:pPr>
            <w:r>
              <w:rPr>
                <w:sz w:val="18"/>
              </w:rPr>
              <w:t>6.7477</w:t>
            </w:r>
          </w:p>
        </w:tc>
      </w:tr>
    </w:tbl>
    <w:p/>
    <w:p>
      <w:pPr>
        <w:pStyle w:val="Heading2"/>
      </w:pPr>
      <w:r>
        <w:t>Summer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Method</w:t>
            </w:r>
          </w:p>
        </w:tc>
        <w:tc>
          <w:tcPr>
            <w:tcW w:type="dxa" w:w="3360"/>
            <w:vAlign w:val="center"/>
            <w:shd w:fill="D9EAF7"/>
          </w:tcPr>
          <w:p>
            <w:pPr>
              <w:spacing w:after="0"/>
            </w:pPr>
            <w:r>
              <w:rPr>
                <w:b/>
                <w:sz w:val="18"/>
              </w:rPr>
              <w:t>Coverage</w:t>
            </w:r>
          </w:p>
        </w:tc>
        <w:tc>
          <w:tcPr>
            <w:tcW w:type="dxa" w:w="3360"/>
            <w:vAlign w:val="center"/>
            <w:shd w:fill="D9EAF7"/>
          </w:tcPr>
          <w:p>
            <w:pPr>
              <w:spacing w:after="0"/>
            </w:pPr>
            <w:r>
              <w:rPr>
                <w:b/>
                <w:sz w:val="18"/>
              </w:rPr>
              <w:t>Average Width</w:t>
            </w:r>
          </w:p>
        </w:tc>
      </w:tr>
      <w:tr>
        <w:tc>
          <w:tcPr>
            <w:tcW w:type="dxa" w:w="3360"/>
            <w:vAlign w:val="center"/>
          </w:tcPr>
          <w:p>
            <w:pPr>
              <w:spacing w:after="0"/>
            </w:pPr>
            <w:r>
              <w:rPr>
                <w:sz w:val="18"/>
              </w:rPr>
              <w:t>Bootstrap</w:t>
            </w:r>
          </w:p>
        </w:tc>
        <w:tc>
          <w:tcPr>
            <w:tcW w:type="dxa" w:w="3360"/>
            <w:vAlign w:val="center"/>
          </w:tcPr>
          <w:p>
            <w:pPr>
              <w:spacing w:after="0"/>
            </w:pPr>
            <w:r>
              <w:rPr>
                <w:sz w:val="18"/>
              </w:rPr>
              <w:t>0.5000</w:t>
            </w:r>
          </w:p>
        </w:tc>
        <w:tc>
          <w:tcPr>
            <w:tcW w:type="dxa" w:w="3360"/>
            <w:vAlign w:val="center"/>
          </w:tcPr>
          <w:p>
            <w:pPr>
              <w:spacing w:after="0"/>
            </w:pPr>
            <w:r>
              <w:rPr>
                <w:sz w:val="18"/>
              </w:rPr>
              <w:t>2.2311</w:t>
            </w:r>
          </w:p>
        </w:tc>
      </w:tr>
      <w:tr>
        <w:tc>
          <w:tcPr>
            <w:tcW w:type="dxa" w:w="3360"/>
            <w:vAlign w:val="center"/>
          </w:tcPr>
          <w:p>
            <w:pPr>
              <w:spacing w:after="0"/>
            </w:pPr>
            <w:r>
              <w:rPr>
                <w:sz w:val="18"/>
              </w:rPr>
              <w:t>Conformal</w:t>
            </w:r>
          </w:p>
        </w:tc>
        <w:tc>
          <w:tcPr>
            <w:tcW w:type="dxa" w:w="3360"/>
            <w:vAlign w:val="center"/>
          </w:tcPr>
          <w:p>
            <w:pPr>
              <w:spacing w:after="0"/>
            </w:pPr>
            <w:r>
              <w:rPr>
                <w:sz w:val="18"/>
              </w:rPr>
              <w:t>0.6250</w:t>
            </w:r>
          </w:p>
        </w:tc>
        <w:tc>
          <w:tcPr>
            <w:tcW w:type="dxa" w:w="3360"/>
            <w:vAlign w:val="center"/>
          </w:tcPr>
          <w:p>
            <w:pPr>
              <w:spacing w:after="0"/>
            </w:pPr>
            <w:r>
              <w:rPr>
                <w:sz w:val="18"/>
              </w:rPr>
              <w:t>3.9101</w:t>
            </w:r>
          </w:p>
        </w:tc>
      </w:tr>
      <w:tr>
        <w:tc>
          <w:tcPr>
            <w:tcW w:type="dxa" w:w="3360"/>
            <w:vAlign w:val="center"/>
          </w:tcPr>
          <w:p>
            <w:pPr>
              <w:spacing w:after="0"/>
            </w:pPr>
            <w:r>
              <w:rPr>
                <w:sz w:val="18"/>
              </w:rPr>
              <w:t>Quantile</w:t>
            </w:r>
          </w:p>
        </w:tc>
        <w:tc>
          <w:tcPr>
            <w:tcW w:type="dxa" w:w="3360"/>
            <w:vAlign w:val="center"/>
          </w:tcPr>
          <w:p>
            <w:pPr>
              <w:spacing w:after="0"/>
            </w:pPr>
            <w:r>
              <w:rPr>
                <w:sz w:val="18"/>
              </w:rPr>
              <w:t>0.8750</w:t>
            </w:r>
          </w:p>
        </w:tc>
        <w:tc>
          <w:tcPr>
            <w:tcW w:type="dxa" w:w="3360"/>
            <w:vAlign w:val="center"/>
          </w:tcPr>
          <w:p>
            <w:pPr>
              <w:spacing w:after="0"/>
            </w:pPr>
            <w:r>
              <w:rPr>
                <w:sz w:val="18"/>
              </w:rPr>
              <w:t>11.6887</w:t>
            </w:r>
          </w:p>
        </w:tc>
      </w:tr>
    </w:tbl>
    <w:p/>
    <w:p>
      <w:pPr>
        <w:pStyle w:val="Heading2"/>
      </w:pPr>
      <w:r>
        <w:t>Autumn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Method</w:t>
            </w:r>
          </w:p>
        </w:tc>
        <w:tc>
          <w:tcPr>
            <w:tcW w:type="dxa" w:w="3360"/>
            <w:vAlign w:val="center"/>
            <w:shd w:fill="D9EAF7"/>
          </w:tcPr>
          <w:p>
            <w:pPr>
              <w:spacing w:after="0"/>
            </w:pPr>
            <w:r>
              <w:rPr>
                <w:b/>
                <w:sz w:val="18"/>
              </w:rPr>
              <w:t>Coverage</w:t>
            </w:r>
          </w:p>
        </w:tc>
        <w:tc>
          <w:tcPr>
            <w:tcW w:type="dxa" w:w="3360"/>
            <w:vAlign w:val="center"/>
            <w:shd w:fill="D9EAF7"/>
          </w:tcPr>
          <w:p>
            <w:pPr>
              <w:spacing w:after="0"/>
            </w:pPr>
            <w:r>
              <w:rPr>
                <w:b/>
                <w:sz w:val="18"/>
              </w:rPr>
              <w:t>Average Width</w:t>
            </w:r>
          </w:p>
        </w:tc>
      </w:tr>
      <w:tr>
        <w:tc>
          <w:tcPr>
            <w:tcW w:type="dxa" w:w="3360"/>
            <w:vAlign w:val="center"/>
          </w:tcPr>
          <w:p>
            <w:pPr>
              <w:spacing w:after="0"/>
            </w:pPr>
            <w:r>
              <w:rPr>
                <w:sz w:val="18"/>
              </w:rPr>
              <w:t>Bootstrap</w:t>
            </w:r>
          </w:p>
        </w:tc>
        <w:tc>
          <w:tcPr>
            <w:tcW w:type="dxa" w:w="3360"/>
            <w:vAlign w:val="center"/>
          </w:tcPr>
          <w:p>
            <w:pPr>
              <w:spacing w:after="0"/>
            </w:pPr>
            <w:r>
              <w:rPr>
                <w:sz w:val="18"/>
              </w:rPr>
              <w:t>0.9583</w:t>
            </w:r>
          </w:p>
        </w:tc>
        <w:tc>
          <w:tcPr>
            <w:tcW w:type="dxa" w:w="3360"/>
            <w:vAlign w:val="center"/>
          </w:tcPr>
          <w:p>
            <w:pPr>
              <w:spacing w:after="0"/>
            </w:pPr>
            <w:r>
              <w:rPr>
                <w:sz w:val="18"/>
              </w:rPr>
              <w:t>5.7690</w:t>
            </w:r>
          </w:p>
        </w:tc>
      </w:tr>
      <w:tr>
        <w:tc>
          <w:tcPr>
            <w:tcW w:type="dxa" w:w="3360"/>
            <w:vAlign w:val="center"/>
          </w:tcPr>
          <w:p>
            <w:pPr>
              <w:spacing w:after="0"/>
            </w:pPr>
            <w:r>
              <w:rPr>
                <w:sz w:val="18"/>
              </w:rPr>
              <w:t>Conformal</w:t>
            </w:r>
          </w:p>
        </w:tc>
        <w:tc>
          <w:tcPr>
            <w:tcW w:type="dxa" w:w="3360"/>
            <w:vAlign w:val="center"/>
          </w:tcPr>
          <w:p>
            <w:pPr>
              <w:spacing w:after="0"/>
            </w:pPr>
            <w:r>
              <w:rPr>
                <w:sz w:val="18"/>
              </w:rPr>
              <w:t>1.0000</w:t>
            </w:r>
          </w:p>
        </w:tc>
        <w:tc>
          <w:tcPr>
            <w:tcW w:type="dxa" w:w="3360"/>
            <w:vAlign w:val="center"/>
          </w:tcPr>
          <w:p>
            <w:pPr>
              <w:spacing w:after="0"/>
            </w:pPr>
            <w:r>
              <w:rPr>
                <w:sz w:val="18"/>
              </w:rPr>
              <w:t>6.7674</w:t>
            </w:r>
          </w:p>
        </w:tc>
      </w:tr>
      <w:tr>
        <w:tc>
          <w:tcPr>
            <w:tcW w:type="dxa" w:w="3360"/>
            <w:vAlign w:val="center"/>
          </w:tcPr>
          <w:p>
            <w:pPr>
              <w:spacing w:after="0"/>
            </w:pPr>
            <w:r>
              <w:rPr>
                <w:sz w:val="18"/>
              </w:rPr>
              <w:t>Quantile</w:t>
            </w:r>
          </w:p>
        </w:tc>
        <w:tc>
          <w:tcPr>
            <w:tcW w:type="dxa" w:w="3360"/>
            <w:vAlign w:val="center"/>
          </w:tcPr>
          <w:p>
            <w:pPr>
              <w:spacing w:after="0"/>
            </w:pPr>
            <w:r>
              <w:rPr>
                <w:sz w:val="18"/>
              </w:rPr>
              <w:t>0.9583</w:t>
            </w:r>
          </w:p>
        </w:tc>
        <w:tc>
          <w:tcPr>
            <w:tcW w:type="dxa" w:w="3360"/>
            <w:vAlign w:val="center"/>
          </w:tcPr>
          <w:p>
            <w:pPr>
              <w:spacing w:after="0"/>
            </w:pPr>
            <w:r>
              <w:rPr>
                <w:sz w:val="18"/>
              </w:rPr>
              <w:t>15.4308</w:t>
            </w:r>
          </w:p>
        </w:tc>
      </w:tr>
    </w:tbl>
    <w:p/>
    <w:p>
      <w:pPr>
        <w:pStyle w:val="Heading2"/>
      </w:pPr>
      <w:r>
        <w:t>Winter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Method</w:t>
            </w:r>
          </w:p>
        </w:tc>
        <w:tc>
          <w:tcPr>
            <w:tcW w:type="dxa" w:w="3360"/>
            <w:vAlign w:val="center"/>
            <w:shd w:fill="D9EAF7"/>
          </w:tcPr>
          <w:p>
            <w:pPr>
              <w:spacing w:after="0"/>
            </w:pPr>
            <w:r>
              <w:rPr>
                <w:b/>
                <w:sz w:val="18"/>
              </w:rPr>
              <w:t>Coverage</w:t>
            </w:r>
          </w:p>
        </w:tc>
        <w:tc>
          <w:tcPr>
            <w:tcW w:type="dxa" w:w="3360"/>
            <w:vAlign w:val="center"/>
            <w:shd w:fill="D9EAF7"/>
          </w:tcPr>
          <w:p>
            <w:pPr>
              <w:spacing w:after="0"/>
            </w:pPr>
            <w:r>
              <w:rPr>
                <w:b/>
                <w:sz w:val="18"/>
              </w:rPr>
              <w:t>Average Width</w:t>
            </w:r>
          </w:p>
        </w:tc>
      </w:tr>
      <w:tr>
        <w:tc>
          <w:tcPr>
            <w:tcW w:type="dxa" w:w="3360"/>
            <w:vAlign w:val="center"/>
          </w:tcPr>
          <w:p>
            <w:pPr>
              <w:spacing w:after="0"/>
            </w:pPr>
            <w:r>
              <w:rPr>
                <w:sz w:val="18"/>
              </w:rPr>
              <w:t>Bootstrap</w:t>
            </w:r>
          </w:p>
        </w:tc>
        <w:tc>
          <w:tcPr>
            <w:tcW w:type="dxa" w:w="3360"/>
            <w:vAlign w:val="center"/>
          </w:tcPr>
          <w:p>
            <w:pPr>
              <w:spacing w:after="0"/>
            </w:pPr>
            <w:r>
              <w:rPr>
                <w:sz w:val="18"/>
              </w:rPr>
              <w:t>0.4583</w:t>
            </w:r>
          </w:p>
        </w:tc>
        <w:tc>
          <w:tcPr>
            <w:tcW w:type="dxa" w:w="3360"/>
            <w:vAlign w:val="center"/>
          </w:tcPr>
          <w:p>
            <w:pPr>
              <w:spacing w:after="0"/>
            </w:pPr>
            <w:r>
              <w:rPr>
                <w:sz w:val="18"/>
              </w:rPr>
              <w:t>2.6896</w:t>
            </w:r>
          </w:p>
        </w:tc>
      </w:tr>
      <w:tr>
        <w:tc>
          <w:tcPr>
            <w:tcW w:type="dxa" w:w="3360"/>
            <w:vAlign w:val="center"/>
          </w:tcPr>
          <w:p>
            <w:pPr>
              <w:spacing w:after="0"/>
            </w:pPr>
            <w:r>
              <w:rPr>
                <w:sz w:val="18"/>
              </w:rPr>
              <w:t>Conformal</w:t>
            </w:r>
          </w:p>
        </w:tc>
        <w:tc>
          <w:tcPr>
            <w:tcW w:type="dxa" w:w="3360"/>
            <w:vAlign w:val="center"/>
          </w:tcPr>
          <w:p>
            <w:pPr>
              <w:spacing w:after="0"/>
            </w:pPr>
            <w:r>
              <w:rPr>
                <w:sz w:val="18"/>
              </w:rPr>
              <w:t>1.0000</w:t>
            </w:r>
          </w:p>
        </w:tc>
        <w:tc>
          <w:tcPr>
            <w:tcW w:type="dxa" w:w="3360"/>
            <w:vAlign w:val="center"/>
          </w:tcPr>
          <w:p>
            <w:pPr>
              <w:spacing w:after="0"/>
            </w:pPr>
            <w:r>
              <w:rPr>
                <w:sz w:val="18"/>
              </w:rPr>
              <w:t>10.6682</w:t>
            </w:r>
          </w:p>
        </w:tc>
      </w:tr>
      <w:tr>
        <w:tc>
          <w:tcPr>
            <w:tcW w:type="dxa" w:w="3360"/>
            <w:vAlign w:val="center"/>
          </w:tcPr>
          <w:p>
            <w:pPr>
              <w:spacing w:after="0"/>
            </w:pPr>
            <w:r>
              <w:rPr>
                <w:sz w:val="18"/>
              </w:rPr>
              <w:t>Quantile</w:t>
            </w:r>
          </w:p>
        </w:tc>
        <w:tc>
          <w:tcPr>
            <w:tcW w:type="dxa" w:w="3360"/>
            <w:vAlign w:val="center"/>
          </w:tcPr>
          <w:p>
            <w:pPr>
              <w:spacing w:after="0"/>
            </w:pPr>
            <w:r>
              <w:rPr>
                <w:sz w:val="18"/>
              </w:rPr>
              <w:t>1.0000</w:t>
            </w:r>
          </w:p>
        </w:tc>
        <w:tc>
          <w:tcPr>
            <w:tcW w:type="dxa" w:w="3360"/>
            <w:vAlign w:val="center"/>
          </w:tcPr>
          <w:p>
            <w:pPr>
              <w:spacing w:after="0"/>
            </w:pPr>
            <w:r>
              <w:rPr>
                <w:sz w:val="18"/>
              </w:rPr>
              <w:t>27.7308</w:t>
            </w:r>
          </w:p>
        </w:tc>
      </w:tr>
    </w:tbl>
    <w:p/>
    <w:p>
      <w:pPr>
        <w:pStyle w:val="Heading1"/>
      </w:pPr>
      <w:r>
        <w:t>10. Interpretation of Results</w:t>
      </w:r>
    </w:p>
    <w:p>
      <w:pPr>
        <w:pStyle w:val="ListBullet"/>
      </w:pPr>
      <w:r>
        <w:t>The best model was not the same for every season, showing that wind behavior changes across the year.</w:t>
      </w:r>
    </w:p>
    <w:p>
      <w:pPr>
        <w:pStyle w:val="ListBullet"/>
      </w:pPr>
      <w:r>
        <w:t>Spring performed best with Recursive Random Forest.</w:t>
      </w:r>
    </w:p>
    <w:p>
      <w:pPr>
        <w:pStyle w:val="ListBullet"/>
      </w:pPr>
      <w:r>
        <w:t>Summer performed best with Direct LightGBM and had the strongest final test performance.</w:t>
      </w:r>
    </w:p>
    <w:p>
      <w:pPr>
        <w:pStyle w:val="ListBullet"/>
      </w:pPr>
      <w:r>
        <w:t>Autumn and winter performed best with the stacking ensemble.</w:t>
      </w:r>
    </w:p>
    <w:p>
      <w:pPr>
        <w:pStyle w:val="ListBullet"/>
      </w:pPr>
      <w:r>
        <w:t>Winter test performance was weaker than the other seasons, suggesting the winter test period was more difficult or had different wind behavior compared with validation.</w:t>
      </w:r>
    </w:p>
    <w:p>
      <w:pPr>
        <w:pStyle w:val="ListBullet"/>
      </w:pPr>
      <w:r>
        <w:t>The validation comparison justifies model selection, while the test results show final unseen-data performance.</w:t>
      </w:r>
    </w:p>
    <w:p>
      <w:pPr>
        <w:pStyle w:val="Heading1"/>
      </w:pPr>
      <w:r>
        <w:t>11. Final Conclusion</w:t>
      </w:r>
    </w:p>
    <w:p>
      <w:pPr>
        <w:spacing w:after="120"/>
      </w:pPr>
      <w:r>
        <w:t>The seasonal forecasting approach was successful because it allowed a different best model to be selected for each season. Model selection was performed correctly using validation RMSE, and the final test set was used only for unbiased performance reporting. The final selected models were G for spring, B for summer, H for autumn, and H for winter. Overall, the project demonstrates a complete forecasting workflow including preprocessing, feature engineering, model tuning, validation comparison, best-model selection, final testing, probabilistic intervals, explainability, and production forecasting.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