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color w:val="1F3A5F"/>
          <w:sz w:val="52"/>
          <w:szCs w:val="52"/>
        </w:rPr>
        <w:t xml:space="preserve">TAKEOVER HUNTER</w:t>
      </w:r>
    </w:p>
    <w:p>
      <w:pPr>
        <w:spacing w:after="60"/>
      </w:pPr>
      <w:r>
        <w:rPr>
          <w:rFonts w:ascii="Calibri" w:cs="Calibri" w:eastAsia="Calibri" w:hAnsi="Calibri"/>
          <w:color w:val="2E6B8F"/>
          <w:sz w:val="30"/>
          <w:szCs w:val="30"/>
        </w:rPr>
        <w:t xml:space="preserve">Acquisition Brief</w:t>
      </w:r>
    </w:p>
    <w:p>
      <w:pPr>
        <w:pBdr>
          <w:bottom w:val="single" w:color="1F3A5F" w:sz="10" w:space="1"/>
        </w:pBdr>
        <w:spacing w:after="160" w:before="0"/>
      </w:pPr>
      <w:r>
        <w:t xml:space="preserve"/>
      </w:r>
    </w:p>
    <w:tbl>
      <w:tblPr>
        <w:tblW w:type="dxa" w:w="9360"/>
        <w:tblBorders>
          <w:top w:val="single" w:color="9DB2C6" w:sz="2"/>
          <w:left w:val="single" w:color="9DB2C6" w:sz="2"/>
          <w:bottom w:val="single" w:color="9DB2C6" w:sz="2"/>
          <w:right w:val="single" w:color="9DB2C6" w:sz="2"/>
          <w:insideH w:val="single" w:color="D2DBE6" w:sz="1"/>
          <w:insideV w:val="single" w:color="D2DBE6" w:sz="1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F3A5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type="dxa" w:w="7160"/>
            <w:shd w:fill="1F3A5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Detail</w:t>
            </w:r>
          </w:p>
        </w:tc>
      </w:tr>
      <w:tr>
        <w:tc>
          <w:tcPr>
            <w:tcW w:type="dxa" w:w="2200"/>
            <w:shd w:fill="EEF2F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Asset</w:t>
            </w:r>
          </w:p>
        </w:tc>
        <w:tc>
          <w:tcPr>
            <w:tcW w:type="dxa" w:w="7160"/>
            <w:shd w:fill="EEF2F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Takeover Hunter — subdomain-takeover detection and reporting engine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Version</w:t>
            </w:r>
          </w:p>
        </w:tc>
        <w:tc>
          <w:tcPr>
            <w:tcW w:type="dxa" w:w="716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2.0.0 (hardened, production-ready)</w:t>
            </w:r>
          </w:p>
        </w:tc>
      </w:tr>
      <w:tr>
        <w:tc>
          <w:tcPr>
            <w:tcW w:type="dxa" w:w="2200"/>
            <w:shd w:fill="EEF2F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Date</w:t>
            </w:r>
          </w:p>
        </w:tc>
        <w:tc>
          <w:tcPr>
            <w:tcW w:type="dxa" w:w="7160"/>
            <w:shd w:fill="EEF2F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14 September 2026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16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Available for acquisition as intellectual property</w:t>
            </w:r>
          </w:p>
        </w:tc>
      </w:tr>
      <w:tr>
        <w:tc>
          <w:tcPr>
            <w:tcW w:type="dxa" w:w="2200"/>
            <w:shd w:fill="EEF2F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Asking price</w:t>
            </w:r>
          </w:p>
        </w:tc>
        <w:tc>
          <w:tcPr>
            <w:tcW w:type="dxa" w:w="7160"/>
            <w:shd w:fill="EEF2F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USD 12,000</w:t>
            </w:r>
          </w:p>
        </w:tc>
      </w:tr>
    </w:tbl>
    <w:p>
      <w:pPr>
        <w:spacing w:after="120"/>
      </w:pP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1. Executive summary</w:t>
      </w:r>
    </w:p>
    <w:p>
      <w:pPr>
        <w:spacing w:after="14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Takeover Hunter is a self-contained security tool that detects subdomain takeover vulnerabilities end to end. It enumerates a target's subdomains, triages DNS delegation, fingerprints dangling records against 26 claimable cloud providers, verifies findings to suppress false positives, and generates HackerOne and Bugcrowd-ready reports. It ships as a Flask web application with a streaming API and a terminal-style UI, plus a hardened, non-root Docker image.</w:t>
      </w:r>
    </w:p>
    <w:p>
      <w:pPr>
        <w:spacing w:after="14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The 2.0 codebase is a documented, tested (139 tests) modular Python package with a fixed security posture, continuous integration, and full operator documentation. It is offered for sale as an intellectual-property asset.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2. What is included</w:t>
      </w:r>
    </w:p>
    <w:tbl>
      <w:tblPr>
        <w:tblW w:type="dxa" w:w="9360"/>
        <w:tblBorders>
          <w:top w:val="single" w:color="9DB2C6" w:sz="2"/>
          <w:left w:val="single" w:color="9DB2C6" w:sz="2"/>
          <w:bottom w:val="single" w:color="9DB2C6" w:sz="2"/>
          <w:right w:val="single" w:color="9DB2C6" w:sz="2"/>
          <w:insideH w:val="single" w:color="D2DBE6" w:sz="1"/>
          <w:insideV w:val="single" w:color="D2DBE6" w:sz="1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1F3A5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Included</w:t>
            </w:r>
          </w:p>
        </w:tc>
        <w:tc>
          <w:tcPr>
            <w:tcW w:type="dxa" w:w="6860"/>
            <w:shd w:fill="1F3A5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Detail</w:t>
            </w:r>
          </w:p>
        </w:tc>
      </w:tr>
      <w:tr>
        <w:tc>
          <w:tcPr>
            <w:tcW w:type="dxa" w:w="2500"/>
            <w:shd w:fill="EEF2F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Source code</w:t>
            </w:r>
          </w:p>
        </w:tc>
        <w:tc>
          <w:tcPr>
            <w:tcW w:type="dxa" w:w="6860"/>
            <w:shd w:fill="EEF2F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The full takeover_hunter package (1,560 lines across 10 modules), the terminal UI (1,351 lines), and the test suite (798 lines, 139 tests).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686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README, architecture, API reference, deployment guide, security policy, and changelog.</w:t>
            </w:r>
          </w:p>
        </w:tc>
      </w:tr>
      <w:tr>
        <w:tc>
          <w:tcPr>
            <w:tcW w:type="dxa" w:w="2500"/>
            <w:shd w:fill="EEF2F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Deployment assets</w:t>
            </w:r>
          </w:p>
        </w:tc>
        <w:tc>
          <w:tcPr>
            <w:tcW w:type="dxa" w:w="6860"/>
            <w:shd w:fill="EEF2F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Multi-stage Dockerfile, Procfile, gunicorn configuration, environment template, GitHub Actions CI.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Signature database</w:t>
            </w:r>
          </w:p>
        </w:tc>
        <w:tc>
          <w:tcPr>
            <w:tcW w:type="dxa" w:w="686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26 curated takeover fingerprints with claimability and proof-of-concept metadata.</w:t>
            </w:r>
          </w:p>
        </w:tc>
      </w:tr>
      <w:tr>
        <w:tc>
          <w:tcPr>
            <w:tcW w:type="dxa" w:w="2500"/>
            <w:shd w:fill="EEF2F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Brand</w:t>
            </w:r>
          </w:p>
        </w:tc>
        <w:tc>
          <w:tcPr>
            <w:tcW w:type="dxa" w:w="6860"/>
            <w:shd w:fill="EEF2F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The “Takeover Hunter” name and UI design.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IP rights</w:t>
            </w:r>
          </w:p>
        </w:tc>
        <w:tc>
          <w:tcPr>
            <w:tcW w:type="dxa" w:w="686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Copyright in the 2.x codebase, conveyed by written agreement.</w:t>
            </w:r>
          </w:p>
        </w:tc>
      </w:tr>
    </w:tbl>
    <w:p>
      <w:pPr>
        <w:spacing w:after="140" w:before="12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Available and negotiable as part of the transaction: the existing repository and its history, the live demo deployment, any associated domain, and a defined transition-support period from the author.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3. Technical overview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Stack: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Python 3.10 to 3.13, Flask 3, dnspython, requests, gunicorn. No database; stateless between requests.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Architecture: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A single-purpose-module package behind an application factory. Long scans run in worker threads and stream progress to the browser over Server-Sent Events.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Recon integration: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Orchestrates best-in-class open-source tooling (ProjectDiscovery's subfinder, dnsx, httpx, katana; tomnomnom's assetfinder and waybackurls; gau) with graceful degradation when a tool is absent.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Quality bar: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139 automated tests, 75 percent line coverage overall with the security-critical modules at 97 to 100 percent. Linted, with CI on four Python versions plus a Docker build.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4. Security posture</w:t>
      </w:r>
    </w:p>
    <w:p>
      <w:pPr>
        <w:spacing w:after="14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The tool is engineered to be operated as a hosted service without becoming an attack surface: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Command-injection safe.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External tools are invoked with argument lists (no shell), and every request-supplied host is validated against the RFC 1035 character set before it can reach a subprocess. An explicit regression test proves that metacharacters never reach a shell.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SSRF guard.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Targets that resolve to private, loopback, link-local, or reserved IP space (including the cloud-metadata endpoint) are refused before any HTTP request is made.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Authentication and rate limiting.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Optional API-key authentication and per-client rate limits protect every API route.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Response hardening and workload caps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are applied throughout.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5. Intellectual-property position</w:t>
      </w:r>
    </w:p>
    <w:p>
      <w:pPr>
        <w:spacing w:after="14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We disclose the IP history in full so that technical and legal review is straightforward: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Prior open-source release.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Version 1.x was published under the MIT License. Copies obtained under MIT remain MIT for their recipients.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2.x is a substantial proprietary rewrite.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The version offered here is a near-total re-architecture (new package structure, security model, tests, and documentation), relicensed under a proprietary license going forward. It is separately ownable and transferable.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Path to clean exclusivity.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The working repository is made private and transferred to the buyer, and an asset-purchase or exclusive-license agreement assigns the 2.x copyright and the brand.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Dependencies are permissively licensed.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The application invokes the recon tools as separate executables and does not embed their code.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6. Market and positioning</w:t>
      </w:r>
    </w:p>
    <w:p>
      <w:pPr>
        <w:spacing w:after="14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Subdomain takeover is a persistent, well-understood vulnerability class with an active bug-bounty market and continuous enterprise attack-surface-management demand. Takeover Hunter's niche is the complete operator workflow in a single tool: enumerate, triage, fingerprint, verify, and report, with a usable interface and a report generator, rather than a single-purpose command-line utility. Its edge is the assembled pipeline, the verification and reporting layer, and a clean, hardened, deployable web product a buyer can brand and ship.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7. Valuation and asking price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Asking price: USD 12,000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, for the assets described in Section 2.</w:t>
      </w:r>
    </w:p>
    <w:p>
      <w:pPr>
        <w:spacing w:after="14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The price reflects a clean, immediate transaction for a hardened, tested, documented, and deployable proprietary asset. Value drivers: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A complete, working detection-to-report pipeline with a 26-provider signature engine and a polished UI, rather than a script a buyer would have to assemble and productize.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A fixed security posture that passes technical due diligence, backed by 139 automated tests and CI.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Full documentation and deployment assets that remove onboarding and integration cost.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A transferable brand and proprietary copyright.</w:t>
      </w:r>
    </w:p>
    <w:p>
      <w:pPr>
        <w:spacing w:after="120" w:before="12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For a strategic acquirer — an attack-surface-management vendor, a security-tooling company, or a bug-bounty platform folding the product into an existing offering — standalone comparables for an asset of this maturity run to approximately USD 20,000. The USD 12,000 ask is positioned for a fast, clean transfer.</w:t>
      </w:r>
    </w:p>
    <w:p>
      <w:pPr>
        <w:spacing w:after="14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Offers and structure proposals are welcome.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8. Growth levers (roadmap the buyer inherits)</w:t>
      </w:r>
    </w:p>
    <w:p>
      <w:pPr>
        <w:pStyle w:val="ListParagraph"/>
        <w:numPr>
          <w:ilvl w:val="0"/>
          <w:numId w:val="4"/>
        </w:numPr>
        <w:spacing w:after="90" w:line="276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Monetize.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Add accounts, API keys (the authentication layer already exists), and a metered or subscription tier.</w:t>
      </w:r>
    </w:p>
    <w:p>
      <w:pPr>
        <w:pStyle w:val="ListParagraph"/>
        <w:numPr>
          <w:ilvl w:val="0"/>
          <w:numId w:val="4"/>
        </w:numPr>
        <w:spacing w:after="90" w:line="276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Deepen detection.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Expand the fingerprint database toward the full public signature set, add automated claim-verification, and add continuous monitoring with diff alerts.</w:t>
      </w:r>
    </w:p>
    <w:p>
      <w:pPr>
        <w:pStyle w:val="ListParagraph"/>
        <w:numPr>
          <w:ilvl w:val="0"/>
          <w:numId w:val="4"/>
        </w:numPr>
        <w:spacing w:after="90" w:line="276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Scale-out readiness.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Back the rate limiter with a shared store and add a job queue for very large scans; both are localized changes.</w:t>
      </w:r>
    </w:p>
    <w:p>
      <w:pPr>
        <w:pStyle w:val="ListParagraph"/>
        <w:numPr>
          <w:ilvl w:val="0"/>
          <w:numId w:val="4"/>
        </w:numPr>
        <w:spacing w:after="90" w:line="276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Integrations.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HackerOne and Bugcrowd submission APIs, Slack and webhook alerts, and CSV/JSON export.</w:t>
      </w:r>
    </w:p>
    <w:p>
      <w:pPr>
        <w:pStyle w:val="ListParagraph"/>
        <w:numPr>
          <w:ilvl w:val="0"/>
          <w:numId w:val="4"/>
        </w:numPr>
        <w:spacing w:after="90" w:line="276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Distribution.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A hosted free tier as a funnel, plus a CLI package.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9. Risks and disclosures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No revenue or user base is included in the asking price.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Version 1.x was previously published under MIT, as disclosed in Section 5.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Enumeration breadth depends on external open-source recon tools; the core detection logic is original, the discovery inputs are third-party.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The tool performs active scanning; the buyer assumes responsibility for authorized-use enforcement.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10. Transaction and next steps</w:t>
      </w:r>
    </w:p>
    <w:p>
      <w:pPr>
        <w:pStyle w:val="ListParagraph"/>
        <w:numPr>
          <w:ilvl w:val="0"/>
          <w:numId w:val="5"/>
        </w:numPr>
        <w:spacing w:after="9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The buyer evaluates under a proprietary evaluation license (repository access or a packaged snapshot).</w:t>
      </w:r>
    </w:p>
    <w:p>
      <w:pPr>
        <w:pStyle w:val="ListParagraph"/>
        <w:numPr>
          <w:ilvl w:val="0"/>
          <w:numId w:val="5"/>
        </w:numPr>
        <w:spacing w:after="9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The parties agree scope and price.</w:t>
      </w:r>
    </w:p>
    <w:p>
      <w:pPr>
        <w:pStyle w:val="ListParagraph"/>
        <w:numPr>
          <w:ilvl w:val="0"/>
          <w:numId w:val="5"/>
        </w:numPr>
        <w:spacing w:after="9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An asset-purchase or exclusive-license agreement assigns the 2.x copyright and brand; the repository is transferred private and deployment assets are handed over.</w:t>
      </w:r>
    </w:p>
    <w:p>
      <w:pPr>
        <w:pStyle w:val="ListParagraph"/>
        <w:numPr>
          <w:ilvl w:val="0"/>
          <w:numId w:val="5"/>
        </w:numPr>
        <w:spacing w:after="90" w:line="276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Optional transition support from the author for a defined period.</w:t>
      </w:r>
    </w:p>
    <w:p>
      <w:pPr>
        <w:pBdr>
          <w:bottom w:val="single" w:color="9DB2C6" w:sz="6" w:space="1"/>
        </w:pBdr>
        <w:spacing w:after="100" w:before="200"/>
      </w:pPr>
      <w:r>
        <w:t xml:space="preserve"/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7A7A7A"/>
          <w:sz w:val="18"/>
          <w:szCs w:val="18"/>
        </w:rPr>
        <w:t xml:space="preserve">This brief is an informational summary, not a warranty or an offer. Figures are the seller's good-faith estimates. Buyers should conduct independent technical and legal due diligence, and both parties should use counsel to paper the transfer.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DB2C6" w:sz="4" w:space="6"/>
      </w:pBdr>
      <w:tabs>
        <w:tab w:val="right" w:pos="9360"/>
      </w:tabs>
    </w:pPr>
    <w:r>
      <w:rPr>
        <w:rFonts w:ascii="Calibri" w:cs="Calibri" w:eastAsia="Calibri" w:hAnsi="Calibri"/>
        <w:color w:val="9A9A9A"/>
        <w:sz w:val="16"/>
        <w:szCs w:val="16"/>
      </w:rPr>
      <w:t xml:space="preserve">Takeover Hunter — Acquisition Brief · Confidential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A9A9A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Takeover Hunter — Acquisition Brief</dc:title>
  <dc:creator>Takeover Hunter</dc:creator>
  <cp:lastModifiedBy>Un-named</cp:lastModifiedBy>
  <cp:revision>1</cp:revision>
  <dcterms:created xsi:type="dcterms:W3CDTF">2026-09-14T11:22:09.020Z</dcterms:created>
  <dcterms:modified xsi:type="dcterms:W3CDTF">2026-09-14T11:22:09.020Z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