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Title:</w:t>
      </w:r>
      <w:r w:rsidDel="00000000" w:rsidR="00000000" w:rsidRPr="00000000">
        <w:rPr>
          <w:rtl w:val="0"/>
        </w:rPr>
        <w:t xml:space="preserve"> "Branding &amp; Design - Crafting Visionary Identities"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"Explore the world of branding and design at MediaBubble Advertising, where visionary identities are born."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"Where Vision Takes Shape"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"Welcome to the realm where visions take form and brands are sculpted into icons. At MediaBubble Advertising, we're more than designers; we're architects of visionary identities."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We Offer Section: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Offerings"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"We offer a comprehensive suite of branding and design services designed to make your brand unforgettable. From crafting visual identities to captivating design assets, we're your creative partners."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Our Approach Section: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Creative Approach"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approach is driven by creativity and fueled by innovation. We work closely with you to understand your brand's essence and translate it into visuals that resonate."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Creative Process Section: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"The Creative Process"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creative process is a journey of ideation, experimentation, and refinement. We believe in pushing the boundaries of design to create visuals that tell compelling stories."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Portfolio Section: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"Creative Portfolio"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"Explore our gallery of visionary design work that spans diverse industries and narratives. Witness how we breathe life into brands through our creative prowess."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Contact Us Section: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"Get in Touch - Let's Craft Creative Magic"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"Ready to embark on a creative journey that transcends limits? Reach out, and together, we'll sculpt creative magic that defines your brand."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