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Title:</w:t>
      </w:r>
      <w:r w:rsidDel="00000000" w:rsidR="00000000" w:rsidRPr="00000000">
        <w:rPr>
          <w:rtl w:val="0"/>
        </w:rPr>
        <w:t xml:space="preserve"> "Printing &amp; Outdoor Advertising - Crafting Grand Narratives"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"Explore the world of print and outdoor advertising at MediaBubble Advertising, where messages are amplified into impactful narratives."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Hero Section: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"Go Big, Go Bold"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"Welcome to the realm where messages come to life in grandeur. At MediaBubble Advertising, we don't just print; we craft narratives that seize attention and leave a lasting mark."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We Offer Section: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"Our Offerings"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"Our offerings encompass a spectrum of print and outdoor advertising solutions designed to make your message unforgettable. From captivating print materials to striking outdoor displays, we amplify your message."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Our Approach Section: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"Our Creative Approach"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"Our approach is an artful blend of creativity and strategy. We craft narratives that resonate with your audience, ensuring your brand story is vividly portrayed."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Creative Process Section: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"The Creative Process"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"Our creative process is a symphony of design, storytelling, and precision. We believe in making every message resonate with the audience, be it on paper or billboards."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Portfolio Section: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"Creative Portfolio"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"Explore our gallery of captivating print materials and eye-catching outdoor displays. Witness how we transform messages into memorable narratives through our creative prowess."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Contact Us Section: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"Get in Touch - Let's Amplify Your Message"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"Ready to amplify your message into a grand narrative that commands attention? Reach out, and together, we'll craft advertising tales that resonate."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