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Plano de Separação dos Fronts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Documento Confidencial – DOOHPLAY</w:t>
      </w:r>
    </w:p>
    <w:p>
      <w:pPr>
        <w:spacing w:after="200"/>
      </w:pPr>
      <w:r>
        <w:rPr>
          <w:sz w:val="22"/>
          <w:szCs w:val="22"/>
        </w:rPr>
        <w:t xml:space="preserve">Data: 14 de agosto de 2026</w:t>
      </w:r>
    </w:p>
    <w:p>
      <w:pPr>
        <w:pStyle w:val="Heading2"/>
      </w:pPr>
      <w:r>
        <w:t xml:space="preserve">1. Contexto e Problema</w:t>
      </w:r>
    </w:p>
    <w:p>
      <w:pPr>
        <w:spacing w:after="120"/>
      </w:pPr>
      <w:r>
        <w:rPr>
          <w:sz w:val="22"/>
          <w:szCs w:val="22"/>
        </w:rPr>
        <w:t xml:space="preserve">O repositório atual da DOOHPLAY contém dois sistemas distintos convivendo no mesmo código: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 de Prova/Auditoria (src/): </w:t>
      </w:r>
      <w:r>
        <w:t xml:space="preserve">pipeline criptográfico, Merkle Tree, blockchain Polygon, Trust Graph e Ad Server de verificação.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Front de Produto Comercial (app/): </w:t>
      </w:r>
      <w:r>
        <w:t xml:space="preserve">dashboard do cliente, admin, portal do anunciante, billing Asaas, APIs de playlist e player (web + Android).</w:t>
      </w:r>
    </w:p>
    <w:p>
      <w:pPr>
        <w:spacing w:after="120"/>
      </w:pPr>
      <w:r>
        <w:rPr>
          <w:sz w:val="22"/>
          <w:szCs w:val="22"/>
        </w:rPr>
        <w:t xml:space="preserve">Essa dualidade já causou incidente real em 25/06/2026 (categorias erradas e vazamento de conteúdo entre clientes). O risco de regressão continua alto enquanto os dois fronts compartilharem o mesmo repositório sem isolamento forte.</w:t>
      </w:r>
    </w:p>
    <w:p>
      <w:pPr>
        <w:pStyle w:val="Heading2"/>
      </w:pPr>
      <w:r>
        <w:t xml:space="preserve">2. Objetivos da Separação</w:t>
      </w:r>
    </w:p>
    <w:p>
      <w:pPr>
        <w:pStyle w:val="ListParagraph"/>
        <w:numPr>
          <w:ilvl w:val="0"/>
          <w:numId w:val="3"/>
        </w:numPr>
      </w:pPr>
      <w:r>
        <w:t xml:space="preserve">Eliminar o risco de um front quebrar o outro.</w:t>
      </w:r>
    </w:p>
    <w:p>
      <w:pPr>
        <w:pStyle w:val="ListParagraph"/>
        <w:numPr>
          <w:ilvl w:val="0"/>
          <w:numId w:val="3"/>
        </w:numPr>
      </w:pPr>
      <w:r>
        <w:t xml:space="preserve">Permitir ciclos de desenvolvimento independentes.</w:t>
      </w:r>
    </w:p>
    <w:p>
      <w:pPr>
        <w:pStyle w:val="ListParagraph"/>
        <w:numPr>
          <w:ilvl w:val="0"/>
          <w:numId w:val="3"/>
        </w:numPr>
      </w:pPr>
      <w:r>
        <w:t xml:space="preserve">Facilitar onboarding de novos desenvolvedores.</w:t>
      </w:r>
    </w:p>
    <w:p>
      <w:pPr>
        <w:pStyle w:val="ListParagraph"/>
        <w:numPr>
          <w:ilvl w:val="0"/>
          <w:numId w:val="3"/>
        </w:numPr>
      </w:pPr>
      <w:r>
        <w:t xml:space="preserve">Preparar a base para escalar o produto comercial e o motor de prova separadamente.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Criar contratos de API claros entre os dois sistemas.</w:t>
      </w:r>
    </w:p>
    <w:p>
      <w:pPr>
        <w:pStyle w:val="Heading2"/>
      </w:pPr>
      <w:r>
        <w:t xml:space="preserve">3. Estratégia em 3 Etapas</w:t>
      </w:r>
    </w:p>
    <w:p>
      <w:pPr>
        <w:pStyle w:val="Heading3"/>
      </w:pPr>
      <w:r>
        <w:t xml:space="preserve">Etapa 1 – Isolamento Imediato (1–2 semanas)</w:t>
      </w:r>
    </w:p>
    <w:p>
      <w:pPr>
        <w:pStyle w:val="ListParagraph"/>
        <w:numPr>
          <w:ilvl w:val="0"/>
          <w:numId w:val="4"/>
        </w:numPr>
      </w:pPr>
      <w:r>
        <w:t xml:space="preserve">Reforçar e comunicar as regras de ownership já existentes no CLAUDE.md.</w:t>
      </w:r>
    </w:p>
    <w:p>
      <w:pPr>
        <w:pStyle w:val="ListParagraph"/>
        <w:numPr>
          <w:ilvl w:val="0"/>
          <w:numId w:val="4"/>
        </w:numPr>
      </w:pPr>
      <w:r>
        <w:t xml:space="preserve">Proibir Pull Requests que alterem arquivos dos dois fronts ao mesmo tempo.</w:t>
      </w:r>
    </w:p>
    <w:p>
      <w:pPr>
        <w:pStyle w:val="ListParagraph"/>
        <w:numPr>
          <w:ilvl w:val="0"/>
          <w:numId w:val="4"/>
        </w:numPr>
      </w:pPr>
      <w:r>
        <w:t xml:space="preserve">Criar checklists de revisão específicos para cada front.</w:t>
      </w:r>
    </w:p>
    <w:p>
      <w:pPr>
        <w:pStyle w:val="ListParagraph"/>
        <w:numPr>
          <w:ilvl w:val="0"/>
          <w:numId w:val="4"/>
        </w:numPr>
      </w:pPr>
      <w:r>
        <w:t xml:space="preserve">Separar variáveis de ambiente críticas sempre que possível.</w:t>
      </w:r>
    </w:p>
    <w:p>
      <w:pPr>
        <w:pStyle w:val="ListParagraph"/>
        <w:numPr>
          <w:ilvl w:val="0"/>
          <w:numId w:val="4"/>
        </w:numPr>
        <w:spacing w:after="160"/>
      </w:pPr>
      <w:r>
        <w:t xml:space="preserve">Documentar explicitamente quais tabelas pertencem a cada front.</w:t>
      </w:r>
    </w:p>
    <w:p>
      <w:pPr>
        <w:pStyle w:val="Heading3"/>
      </w:pPr>
      <w:r>
        <w:t xml:space="preserve">Etapa 2 – Separação Lógica (3–6 semanas)</w:t>
      </w:r>
    </w:p>
    <w:p>
      <w:pPr>
        <w:pStyle w:val="ListParagraph"/>
        <w:numPr>
          <w:ilvl w:val="0"/>
          <w:numId w:val="5"/>
        </w:numPr>
      </w:pPr>
      <w:r>
        <w:t xml:space="preserve">Extrair o motor de prova para um package interno (ex: packages/proof-engine).</w:t>
      </w:r>
    </w:p>
    <w:p>
      <w:pPr>
        <w:pStyle w:val="ListParagraph"/>
        <w:numPr>
          <w:ilvl w:val="0"/>
          <w:numId w:val="5"/>
        </w:numPr>
      </w:pPr>
      <w:r>
        <w:t xml:space="preserve">Fazer o produto comercial consumir a prova apenas via API interna bem definida.</w:t>
      </w:r>
    </w:p>
    <w:p>
      <w:pPr>
        <w:pStyle w:val="ListParagraph"/>
        <w:numPr>
          <w:ilvl w:val="0"/>
          <w:numId w:val="5"/>
        </w:numPr>
      </w:pPr>
      <w:r>
        <w:t xml:space="preserve">Unificar o acesso ao banco de dados (eliminar a convivência de pg.Pool + Supabase + Prisma de forma desorganizada).</w:t>
      </w:r>
    </w:p>
    <w:p>
      <w:pPr>
        <w:pStyle w:val="ListParagraph"/>
        <w:numPr>
          <w:ilvl w:val="0"/>
          <w:numId w:val="5"/>
        </w:numPr>
        <w:spacing w:after="160"/>
      </w:pPr>
      <w:r>
        <w:t xml:space="preserve">Criar testes de contrato entre os dois fronts.</w:t>
      </w:r>
    </w:p>
    <w:p>
      <w:pPr>
        <w:pStyle w:val="Heading3"/>
      </w:pPr>
      <w:r>
        <w:t xml:space="preserve">Etapa 3 – Separação Física (opcional – 2–4 meses)</w:t>
      </w:r>
    </w:p>
    <w:p>
      <w:pPr>
        <w:spacing w:after="120"/>
      </w:pPr>
      <w:r>
        <w:rPr>
          <w:sz w:val="22"/>
          <w:szCs w:val="22"/>
        </w:rPr>
        <w:t xml:space="preserve">Somente quando o time crescer ou a complexidade exigir:</w:t>
      </w:r>
    </w:p>
    <w:p>
      <w:pPr>
        <w:pStyle w:val="ListParagraph"/>
        <w:numPr>
          <w:ilvl w:val="0"/>
          <w:numId w:val="2"/>
        </w:numPr>
      </w:pPr>
      <w:r>
        <w:t xml:space="preserve">doohplay-core → motor de prova, blockchain, verificação pública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doohplay-platform → CMS, dashboard, player, billing, anunciantes</w:t>
      </w:r>
    </w:p>
    <w:p>
      <w:pPr>
        <w:pStyle w:val="Heading2"/>
      </w:pPr>
      <w:r>
        <w:t xml:space="preserve">4. Regras de Governança</w:t>
      </w:r>
    </w:p>
    <w:p>
      <w:pPr>
        <w:pStyle w:val="ListParagraph"/>
        <w:numPr>
          <w:ilvl w:val="0"/>
          <w:numId w:val="2"/>
        </w:numPr>
      </w:pPr>
      <w:r>
        <w:t xml:space="preserve">Nenhuma alteração de contrato de API sem atualizar docs/api-contract.md primeiro.</w:t>
      </w:r>
    </w:p>
    <w:p>
      <w:pPr>
        <w:pStyle w:val="ListParagraph"/>
        <w:numPr>
          <w:ilvl w:val="0"/>
          <w:numId w:val="2"/>
        </w:numPr>
      </w:pPr>
      <w:r>
        <w:t xml:space="preserve">Mudanças que afetam o player Android devem ser comunicadas explicitamente.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Code review obrigatório por alguém que conheça o front afetado.</w:t>
      </w:r>
    </w:p>
    <w:p>
      <w:pPr>
        <w:pStyle w:val="Heading2"/>
      </w:pPr>
      <w:r>
        <w:t xml:space="preserve">5. Critérios de Sucesso</w:t>
      </w:r>
    </w:p>
    <w:p>
      <w:pPr>
        <w:pStyle w:val="ListParagraph"/>
        <w:numPr>
          <w:ilvl w:val="0"/>
          <w:numId w:val="2"/>
        </w:numPr>
      </w:pPr>
      <w:r>
        <w:t xml:space="preserve">Zero incidentes de contaminação entre fronts por 90 dias.</w:t>
      </w:r>
    </w:p>
    <w:p>
      <w:pPr>
        <w:pStyle w:val="ListParagraph"/>
        <w:numPr>
          <w:ilvl w:val="0"/>
          <w:numId w:val="2"/>
        </w:numPr>
      </w:pPr>
      <w:r>
        <w:t xml:space="preserve">Novos desenvolvedores conseguem trabalhar em um front sem quebrar o outro.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APIs internas documentadas e estáveis.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Recomendação: executar as Etapas 1 e 2 o mais rápido possível. A Etapa 3 só se justifica com crescimento do time ou necessidade clara de escala independente.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DOOHPLAY – Documento Confidencial •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DOOHPLAY – Plano de Separação dos Fronts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2026-08-15T00:38:32.877Z</dcterms:created>
  <dcterms:modified xsi:type="dcterms:W3CDTF">2026-08-15T00:38:32.877Z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