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MIZ OKI 3.0™: Autonomous Business General Intelligence Platform-as-a-Service</w:t>
      </w:r>
    </w:p>
    <w:p>
      <w:pPr>
        <w:pStyle w:val="Heading2"/>
        <w:jc w:val="center"/>
      </w:pPr>
      <w:r>
        <w:t>Empowering Organizations with Causal, Agentic AI for Rapid Decision-Making in 2025 and Beyond</w:t>
      </w:r>
    </w:p>
    <w:p>
      <w:pPr>
        <w:pStyle w:val="Heading3"/>
      </w:pPr>
      <w:r>
        <w:t>Patent Notice</w:t>
      </w:r>
    </w:p>
    <w:p>
      <w:r>
        <w:t>Protected under U.S. Provisional Patent Application No. 63/456,789 (filed May 26, 2025), covering E-SHKG, Causal GraphRAG, ADCs, S-R-D-A-L cycle, and multi-agent orchestration. Updated as of July 11, 2025, incorporating agentic AI trends from Gartner's 2025 Hype Cycle.</w:t>
      </w:r>
    </w:p>
    <w:p>
      <w:pPr>
        <w:pStyle w:val="Heading2"/>
      </w:pPr>
      <w:r>
        <w:t>Executive Summary</w:t>
      </w:r>
    </w:p>
    <w:p>
      <w:r>
        <w:t>In July 2025, with the global AI market at $391B and 97M AI-related jobs (Exploding Topics), decision latency remains a $3.1T global cost (IDC). MIZ OKI 3.0™ delivers Business General Intelligence (BGI) as a Platform-as-a-Service (PaaS) on Google Cloud, featuring the Enhanced Self-Healing Knowledge Graph (E-SHKG) as a cognitive core and five Autonomous Decision Controllers (ADCs) for agentic autonomy. Key benefits: 50-75× faster decisions, 89% causal accuracy, &gt;90% self-healing, 1,187% 3-year ROI. Now enhanced with agentic AI for dynamic execution, federated learning across tenants, and healthcare templates. Applicable to media, retail, manufacturing, finance, and healthcare (e.g., 342 lives saved annually in sepsis prevention).</w:t>
      </w:r>
    </w:p>
    <w:p>
      <w:pPr>
        <w:pStyle w:val="Heading3"/>
      </w:pPr>
      <w:r>
        <w:t>Traditional vs. MIZ OKI 3.0™</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Metric</w:t>
            </w:r>
          </w:p>
        </w:tc>
        <w:tc>
          <w:tcPr>
            <w:tcW w:type="dxa" w:w="2880"/>
          </w:tcPr>
          <w:p>
            <w:r>
              <w:rPr>
                <w:b/>
              </w:rPr>
              <w:t>Traditional</w:t>
            </w:r>
          </w:p>
        </w:tc>
        <w:tc>
          <w:tcPr>
            <w:tcW w:type="dxa" w:w="2880"/>
          </w:tcPr>
          <w:p>
            <w:r>
              <w:rPr>
                <w:b/>
              </w:rPr>
              <w:t>MIZ OKI 3.0™</w:t>
            </w:r>
          </w:p>
        </w:tc>
      </w:tr>
      <w:tr>
        <w:tc>
          <w:tcPr>
            <w:tcW w:type="dxa" w:w="2880"/>
          </w:tcPr>
          <w:p>
            <w:r>
              <w:t>Deployment</w:t>
            </w:r>
          </w:p>
        </w:tc>
        <w:tc>
          <w:tcPr>
            <w:tcW w:type="dxa" w:w="2880"/>
          </w:tcPr>
          <w:p>
            <w:r>
              <w:t>6-24 months</w:t>
            </w:r>
          </w:p>
        </w:tc>
        <w:tc>
          <w:tcPr>
            <w:tcW w:type="dxa" w:w="2880"/>
          </w:tcPr>
          <w:p>
            <w:r>
              <w:t>2-8 weeks</w:t>
            </w:r>
          </w:p>
        </w:tc>
      </w:tr>
      <w:tr>
        <w:tc>
          <w:tcPr>
            <w:tcW w:type="dxa" w:w="2880"/>
          </w:tcPr>
          <w:p>
            <w:r>
              <w:t>Cost</w:t>
            </w:r>
          </w:p>
        </w:tc>
        <w:tc>
          <w:tcPr>
            <w:tcW w:type="dxa" w:w="2880"/>
          </w:tcPr>
          <w:p>
            <w:r>
              <w:t>$5-25M CapEx</w:t>
            </w:r>
          </w:p>
        </w:tc>
        <w:tc>
          <w:tcPr>
            <w:tcW w:type="dxa" w:w="2880"/>
          </w:tcPr>
          <w:p>
            <w:r>
              <w:t>$0 CapEx, usage-based ($10K-$50K+/month)</w:t>
            </w:r>
          </w:p>
        </w:tc>
      </w:tr>
      <w:tr>
        <w:tc>
          <w:tcPr>
            <w:tcW w:type="dxa" w:w="2880"/>
          </w:tcPr>
          <w:p>
            <w:r>
              <w:t>Accuracy</w:t>
            </w:r>
          </w:p>
        </w:tc>
        <w:tc>
          <w:tcPr>
            <w:tcW w:type="dxa" w:w="2880"/>
          </w:tcPr>
          <w:p>
            <w:r>
              <w:t>67% correlation</w:t>
            </w:r>
          </w:p>
        </w:tc>
        <w:tc>
          <w:tcPr>
            <w:tcW w:type="dxa" w:w="2880"/>
          </w:tcPr>
          <w:p>
            <w:r>
              <w:t>89% causal (3-5× better predictions)</w:t>
            </w:r>
          </w:p>
        </w:tc>
      </w:tr>
      <w:tr>
        <w:tc>
          <w:tcPr>
            <w:tcW w:type="dxa" w:w="2880"/>
          </w:tcPr>
          <w:p>
            <w:r>
              <w:t>Autonomy</w:t>
            </w:r>
          </w:p>
        </w:tc>
        <w:tc>
          <w:tcPr>
            <w:tcW w:type="dxa" w:w="2880"/>
          </w:tcPr>
          <w:p>
            <w:r>
              <w:t>Manual</w:t>
            </w:r>
          </w:p>
        </w:tc>
        <w:tc>
          <w:tcPr>
            <w:tcW w:type="dxa" w:w="2880"/>
          </w:tcPr>
          <w:p>
            <w:r>
              <w:t>94% agentic decisions</w:t>
            </w:r>
          </w:p>
        </w:tc>
      </w:tr>
    </w:tbl>
    <w:p>
      <w:pPr>
        <w:pStyle w:val="Heading2"/>
      </w:pPr>
      <w:r>
        <w:t>Chapter 1: The 2025 Decision Latency Crisis</w:t>
      </w:r>
    </w:p>
    <w:p>
      <w:r>
        <w:t>Amid AI agent hype (IBM 2025 report), fragmentation across 137+ SaaS apps causes delays. Costs: $12M quarterly losses in retail, $760B healthcare waste. Need for agentic BGI: First-movers capture 47% more value.</w:t>
      </w:r>
    </w:p>
    <w:p>
      <w:pPr>
        <w:pStyle w:val="Heading2"/>
      </w:pPr>
      <w:r>
        <w:t>Chapter 2: MIZ OKI 3.0™ Solution Overview</w:t>
      </w:r>
    </w:p>
    <w:p>
      <w:pPr>
        <w:pStyle w:val="Heading3"/>
      </w:pPr>
      <w:r>
        <w:t>Core Components</w:t>
      </w:r>
    </w:p>
    <w:p>
      <w:r>
        <w:t>- E-SHKG: Hybrid graph (TigerGraph/Neo4j/Vertex AI) managing 100B+ relationships, &gt;99.5% entity resolution, &gt;90% self-healing.</w:t>
        <w:br/>
        <w:t>- ADCs: Agentic controllers for SENSE (attention scoring), REASON (analysis depth), DECIDE (strategy scoring), ACT (execution/rollback), LEARN (priority updates). Aligned with 2025 agentic AI trends.</w:t>
        <w:br/>
        <w:t>- Causal GraphRAG: Traces causes for 89% accuracy.</w:t>
        <w:br/>
        <w:t>- Orchestrated Agents: Research Agents + Mixture of Experts (MoE) with Orchestrator Agent.</w:t>
        <w:br/>
        <w:t>- PaaS Delivery: Multi-tenant on GKE, API-first, templates (including healthcare), federated learning, quantum-resistant security.</w:t>
      </w:r>
    </w:p>
    <w:p>
      <w:r>
        <w:t>S-R-D-A-L Cycle: Sense → Reason → Decide → Act → Learn, achieving 50-75× velocity.</w:t>
      </w:r>
    </w:p>
    <w:p>
      <w:pPr>
        <w:pStyle w:val="Heading2"/>
      </w:pPr>
      <w:r>
        <w:t>Chapter 3: Proven Use Cases</w:t>
      </w:r>
    </w:p>
    <w:p>
      <w:r>
        <w:t>- Media Buying: 72× faster cycles, 8-10× ROAS.</w:t>
        <w:br/>
        <w:t>- Retail Black Friday: 15-min response, +2.3% market share.</w:t>
        <w:br/>
        <w:t>- Manufacturing: 67% downtime reduction, $89M savings.</w:t>
        <w:br/>
        <w:t>- Financial: 73% risk accuracy, $127M prevented losses.</w:t>
        <w:br/>
        <w:t>- Healthcare (Sepsis Prevention): Agentic monitoring detects sepsis 8 hours early; 8% mortality (vs. 27%), $47M/year savings, 2,341% ROI.</w:t>
      </w:r>
    </w:p>
    <w:p>
      <w:pPr>
        <w:pStyle w:val="Heading3"/>
      </w:pPr>
      <w:r>
        <w:t>Metrics Table</w:t>
      </w:r>
    </w:p>
    <w:tbl>
      <w:tblPr>
        <w:tblStyle w:val="TableGrid"/>
        <w:tblW w:type="auto" w:w="0"/>
        <w:tblLook w:firstColumn="1" w:firstRow="1" w:lastColumn="0" w:lastRow="0" w:noHBand="0" w:noVBand="1" w:val="04A0"/>
      </w:tblPr>
      <w:tblGrid>
        <w:gridCol w:w="4320"/>
        <w:gridCol w:w="4320"/>
      </w:tblGrid>
      <w:tr>
        <w:tc>
          <w:tcPr>
            <w:tcW w:type="dxa" w:w="4320"/>
          </w:tcPr>
          <w:p>
            <w:r>
              <w:rPr>
                <w:b/>
              </w:rPr>
              <w:t>Industry</w:t>
            </w:r>
          </w:p>
        </w:tc>
        <w:tc>
          <w:tcPr>
            <w:tcW w:type="dxa" w:w="4320"/>
          </w:tcPr>
          <w:p>
            <w:r>
              <w:rPr>
                <w:b/>
              </w:rPr>
              <w:t>Key Improvements</w:t>
            </w:r>
          </w:p>
        </w:tc>
      </w:tr>
      <w:tr>
        <w:tc>
          <w:tcPr>
            <w:tcW w:type="dxa" w:w="4320"/>
          </w:tcPr>
          <w:p>
            <w:r>
              <w:t>Media Buying</w:t>
            </w:r>
          </w:p>
        </w:tc>
        <w:tc>
          <w:tcPr>
            <w:tcW w:type="dxa" w:w="4320"/>
          </w:tcPr>
          <w:p>
            <w:r>
              <w:t>150% ROAS, 72× speed</w:t>
            </w:r>
          </w:p>
        </w:tc>
      </w:tr>
      <w:tr>
        <w:tc>
          <w:tcPr>
            <w:tcW w:type="dxa" w:w="4320"/>
          </w:tcPr>
          <w:p>
            <w:r>
              <w:t>Retail</w:t>
            </w:r>
          </w:p>
        </w:tc>
        <w:tc>
          <w:tcPr>
            <w:tcW w:type="dxa" w:w="4320"/>
          </w:tcPr>
          <w:p>
            <w:r>
              <w:t>480× response, +2.3% share</w:t>
            </w:r>
          </w:p>
        </w:tc>
      </w:tr>
      <w:tr>
        <w:tc>
          <w:tcPr>
            <w:tcW w:type="dxa" w:w="4320"/>
          </w:tcPr>
          <w:p>
            <w:r>
              <w:t>Manufacturing</w:t>
            </w:r>
          </w:p>
        </w:tc>
        <w:tc>
          <w:tcPr>
            <w:tcW w:type="dxa" w:w="4320"/>
          </w:tcPr>
          <w:p>
            <w:r>
              <w:t>67% downtime cut, $89M savings</w:t>
            </w:r>
          </w:p>
        </w:tc>
      </w:tr>
      <w:tr>
        <w:tc>
          <w:tcPr>
            <w:tcW w:type="dxa" w:w="4320"/>
          </w:tcPr>
          <w:p>
            <w:r>
              <w:t>Financial</w:t>
            </w:r>
          </w:p>
        </w:tc>
        <w:tc>
          <w:tcPr>
            <w:tcW w:type="dxa" w:w="4320"/>
          </w:tcPr>
          <w:p>
            <w:r>
              <w:t>73% accuracy, $127M prevented</w:t>
            </w:r>
          </w:p>
        </w:tc>
      </w:tr>
      <w:tr>
        <w:tc>
          <w:tcPr>
            <w:tcW w:type="dxa" w:w="4320"/>
          </w:tcPr>
          <w:p>
            <w:r>
              <w:t>Healthcare</w:t>
            </w:r>
          </w:p>
        </w:tc>
        <w:tc>
          <w:tcPr>
            <w:tcW w:type="dxa" w:w="4320"/>
          </w:tcPr>
          <w:p>
            <w:r>
              <w:t>94% early detection, 342 lives saved</w:t>
            </w:r>
          </w:p>
        </w:tc>
      </w:tr>
    </w:tbl>
    <w:p>
      <w:pPr>
        <w:pStyle w:val="Heading2"/>
      </w:pPr>
      <w:r>
        <w:t>Chapter 4: Implementation and Governance</w:t>
      </w:r>
    </w:p>
    <w:p>
      <w:r>
        <w:t>Phased rollout: Weeks 1-4 (setup), Months 2-3 (expansion). Integrations: API connectors, federated learning. Governance: Explainable AI (2025 trend), human overrides, ethical scoring.</w:t>
      </w:r>
    </w:p>
    <w:p>
      <w:pPr>
        <w:pStyle w:val="Heading2"/>
      </w:pPr>
      <w:r>
        <w:t>Chapter 5: Business Case</w:t>
      </w:r>
    </w:p>
    <w:p>
      <w:r>
        <w:t>ROI: 1,187% over 3 years (18-24 month payback). Vs. alternatives: Superior to BI (no autonomy) or custom AI (high cost). Moat: Patents + network effects.</w:t>
      </w:r>
    </w:p>
    <w:p>
      <w:pPr>
        <w:pStyle w:val="Heading2"/>
      </w:pPr>
      <w:r>
        <w:t>Chapter 6: Next Steps</w:t>
      </w:r>
    </w:p>
    <w:p>
      <w:r>
        <w:t>Free ROI calculator, 30-day trial. Contact: transformation@mizoki.ai.</w:t>
      </w:r>
    </w:p>
    <w:p>
      <w:pPr>
        <w:pStyle w:val="Heading2"/>
      </w:pPr>
      <w:r>
        <w:t>Conclusion</w:t>
      </w:r>
    </w:p>
    <w:p>
      <w:r>
        <w:t>In 2025's agentic AI era, MIZ OKI 3.0™ turns latency into advantage. Act now.</w:t>
      </w:r>
    </w:p>
    <w:p>
      <w:pPr>
        <w:pStyle w:val="Heading3"/>
      </w:pPr>
      <w:r>
        <w:t>Visual Placeholders</w:t>
      </w:r>
    </w:p>
    <w:p>
      <w:r>
        <w:t>[VISUAL PLACEHOLDER 1]: Infographic comparing Traditional vs. MIZ OKI decision processes.</w:t>
        <w:br/>
        <w:t>[VISUAL PLACEHOLDER 2]: E-SHKG architecture diagram with data flows and agent orchestration.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