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MIZ OKI 3.0™ Technical Whitepaper: Patented Architecture for Agentic Business General Intelligence</w:t>
      </w:r>
    </w:p>
    <w:p>
      <w:r>
        <w:t>Date: July 11, 2025. Patent: U.S. Provisional No. 63/456,789 (May 26, 2025). Incorporates 2025 trends: Agentic AI (Gartner Hype Cycle), generative/explainable AI.</w:t>
      </w:r>
    </w:p>
    <w:p>
      <w:pPr>
        <w:pStyle w:val="Heading2"/>
      </w:pPr>
      <w:r>
        <w:t>Executive Summary</w:t>
      </w:r>
    </w:p>
    <w:p>
      <w:r>
        <w:t>MIZ OKI 3.0™ is a GCP-native PaaS with E-SHKG as cognitive core, enabling agentic autonomy. Tech highlights: Hybrid graph for 100B+ relationships, ADCs with mathematical scoring, Causal GraphRAG pipeline, MoE orchestration. Supports 10B+ entities, &lt;100ms queries, &gt;90% self-healing. Updated with agentic execution (IBM 2025 insights) and generative AI integration.</w:t>
      </w:r>
    </w:p>
    <w:p>
      <w:pPr>
        <w:pStyle w:val="Heading2"/>
      </w:pPr>
      <w:r>
        <w:t>Chapter 1: System Architecture</w:t>
      </w:r>
    </w:p>
    <w:p>
      <w:pPr>
        <w:pStyle w:val="Heading3"/>
      </w:pPr>
      <w:r>
        <w:t>E-SHKG Core (Claim 1a)</w:t>
      </w:r>
    </w:p>
    <w:p>
      <w:r>
        <w:t>- Hybrid Stack: TigerGraph (analytics), Neo4j AuraDB (operations, &lt;100ms queries - Claim 6), Vertex AI (semantics, &gt;99.5% resolution - Claim 2).</w:t>
        <w:br/>
        <w:t>- Scale: 100B+ relationships, 10B+ entities.</w:t>
        <w:br/>
        <w:t>- Self-Healing (Claim 3): &gt;90% autonomous via structural/semantic/causal/temporal validation.</w:t>
      </w:r>
    </w:p>
    <w:p>
      <w:pPr>
        <w:pStyle w:val="Heading3"/>
      </w:pPr>
      <w:r>
        <w:t>Multi-Agent Framework (Claim 1b, 8)</w:t>
      </w:r>
    </w:p>
    <w:p>
      <w:r>
        <w:t>- Research Agents: Gather intel (e.g., Competitive Intelligence Agent).</w:t>
        <w:br/>
        <w:t>- MoE: Specialists (Strategy, Creative, Channel) with Orchestrator Agent (learnable gating).</w:t>
        <w:br/>
        <w:t>- Integration: GCP Pub/Sub, Dataflow, BigQuery.</w:t>
      </w:r>
    </w:p>
    <w:p>
      <w:pPr>
        <w:pStyle w:val="Heading2"/>
      </w:pPr>
      <w:r>
        <w:t>Chapter 2: Autonomous Decision Controllers (ADCs)</w:t>
      </w:r>
    </w:p>
    <w:p>
      <w:r>
        <w:t>Mathematical models (Claims 2-6):</w:t>
      </w:r>
    </w:p>
    <w:p>
      <w:pPr>
        <w:pStyle w:val="ListBullet"/>
      </w:pPr>
      <w:r>
        <w:rPr>
          <w:rFonts w:ascii="Courier New" w:hAnsi="Courier New"/>
          <w:sz w:val="20"/>
        </w:rPr>
        <w:t>SENSE-ADC: Attention_Score = Impact × Uncertainty × Urgency</w:t>
      </w:r>
    </w:p>
    <w:p>
      <w:pPr>
        <w:pStyle w:val="ListBullet"/>
      </w:pPr>
      <w:r>
        <w:rPr>
          <w:rFonts w:ascii="Courier New" w:hAnsi="Courier New"/>
          <w:sz w:val="20"/>
        </w:rPr>
        <w:t>REASON-ADC: Analysis_Depth = (Value × Reduction) / (Time × Cost)</w:t>
      </w:r>
    </w:p>
    <w:p>
      <w:pPr>
        <w:pStyle w:val="ListBullet"/>
      </w:pPr>
      <w:r>
        <w:rPr>
          <w:rFonts w:ascii="Courier New" w:hAnsi="Courier New"/>
          <w:sz w:val="20"/>
        </w:rPr>
        <w:t>DECIDE-ADC: Strategy_Score = Σ(Weight × Probability × Value × Ethics)</w:t>
      </w:r>
    </w:p>
    <w:p>
      <w:pPr>
        <w:pStyle w:val="ListBullet"/>
      </w:pPr>
      <w:r>
        <w:rPr>
          <w:rFonts w:ascii="Courier New" w:hAnsi="Courier New"/>
          <w:sz w:val="20"/>
        </w:rPr>
        <w:t>ACT-ADC: Deviation monitoring with rollbacks</w:t>
      </w:r>
    </w:p>
    <w:p>
      <w:pPr>
        <w:pStyle w:val="ListBullet"/>
      </w:pPr>
      <w:r>
        <w:rPr>
          <w:rFonts w:ascii="Courier New" w:hAnsi="Courier New"/>
          <w:sz w:val="20"/>
        </w:rPr>
        <w:t>LEARN-ADC: Priority = Error × Impact × Gap</w:t>
      </w:r>
    </w:p>
    <w:p>
      <w:r>
        <w:t>Enhanced with generative AI for scenario simulation (2025 breakthrough).</w:t>
      </w:r>
    </w:p>
    <w:p>
      <w:pPr>
        <w:pStyle w:val="Heading2"/>
      </w:pPr>
      <w:r>
        <w:t>Chapter 3: Causal GraphRAG Engine (Claims 1d, 4)</w:t>
      </w:r>
    </w:p>
    <w:p>
      <w:r>
        <w:t>Pipeline: Query → E-SHKG Traversal → Evidence Retrieval → Temporal Modeling → Confounder Detection → Generation → Verification. Achieves 3-5× accuracy vs. correlations.</w:t>
      </w:r>
    </w:p>
    <w:p>
      <w:pPr>
        <w:pStyle w:val="Heading2"/>
      </w:pPr>
      <w:r>
        <w:t>Chapter 4: S-R-D-A-L Cycle Methodology (Claim 1c)</w:t>
      </w:r>
    </w:p>
    <w:p>
      <w:r>
        <w:t>Detailed flow with E-SHKG orchestration. Agentic enhancements: Dynamic task routing, real-time feedback loops.</w:t>
      </w:r>
    </w:p>
    <w:p>
      <w:pPr>
        <w:pStyle w:val="Heading2"/>
      </w:pPr>
      <w:r>
        <w:t>Chapter 5: Security and Compliance</w:t>
      </w:r>
    </w:p>
    <w:p>
      <w:r>
        <w:t>Quantum-resistant (CRYSTALS-Kyber), SOC2/GDPR/HIPAA, immutable audits. Federated learning for cross-tenant insights.</w:t>
      </w:r>
    </w:p>
    <w:p>
      <w:pPr>
        <w:pStyle w:val="Heading2"/>
      </w:pPr>
      <w:r>
        <w:t>Chapter 6: Performance and Benchmarks</w:t>
      </w:r>
    </w:p>
    <w:p>
      <w:r>
        <w:t>- Velocity: 50-75× (Claim 5).</w:t>
        <w:br/>
        <w:t>- Accuracy: 89% causal.</w:t>
        <w:br/>
        <w:t>- ROI Projections: Based on simulations.</w:t>
      </w:r>
    </w:p>
    <w:p>
      <w:pPr>
        <w:pStyle w:val="Heading2"/>
      </w:pPr>
      <w:r>
        <w:t>Appendices</w:t>
      </w:r>
    </w:p>
    <w:p>
      <w:r>
        <w:t>- A: E-SHKG Deep Dive (code snippets for self-healing).</w:t>
        <w:br/>
        <w:t>- B: Causal GraphRAG Pipeline (diagrams).</w:t>
        <w:br/>
        <w:t>- C: Patent Mapping.</w:t>
      </w:r>
    </w:p>
    <w:p>
      <w:pPr>
        <w:pStyle w:val="Heading3"/>
      </w:pPr>
      <w:r>
        <w:t>Appendix D: Code Example (Bid Optimization)</w:t>
      </w:r>
    </w:p>
    <w:p>
      <w:r>
        <w:rPr>
          <w:rFonts w:ascii="Courier New" w:hAnsi="Courier New"/>
          <w:sz w:val="18"/>
        </w:rPr>
        <w:t>def optimal_bid(prob, roas, pressure):</w:t>
        <w:br/>
        <w:t xml:space="preserve">    base = (prob * target_cpa) / roas</w:t>
        <w:br/>
        <w:t xml:space="preserve">    return base * (1 + pressure) * time_multiplier * inventory_multiplier</w:t>
      </w:r>
    </w:p>
    <w:p>
      <w:pPr>
        <w:pStyle w:val="Heading2"/>
      </w:pPr>
      <w:r>
        <w:t>Conclusion</w:t>
      </w:r>
    </w:p>
    <w:p>
      <w:r>
        <w:t>MIZ OKI 3.0™ sets the 2025 standard for agentic BGI.</w:t>
      </w:r>
    </w:p>
    <w:p>
      <w:pPr>
        <w:pStyle w:val="Heading3"/>
      </w:pPr>
      <w:r>
        <w:t>Visual Placeholders</w:t>
      </w:r>
    </w:p>
    <w:p>
      <w:r>
        <w:t>[VISUAL PLACEHOLDER 2]: E-SHKG architecture diagram.</w:t>
        <w:br/>
        <w:t>[VISUAL PLACEHOLDER 3]: S-R-D-A-L cycle flow diagram.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