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MIZ OKI 3.0™ Technical Whitepaper: Patented Architecture for Agentic Business General Intelligence</w:t>
      </w:r>
    </w:p>
    <w:p>
      <w:r>
        <w:t>Date: July 11, 2025. Patent: U.S. Provisional No. 63/456,789 (May 26, 2025). Incorporates 2025 trends: Agentic AI (Gartner Hype Cycle), generative/explainable AI.</w:t>
      </w:r>
    </w:p>
    <w:p>
      <w:pPr>
        <w:pStyle w:val="Heading2"/>
      </w:pPr>
      <w:r>
        <w:t>Executive Summary</w:t>
      </w:r>
    </w:p>
    <w:p>
      <w:r>
        <w:t>MIZ OKI 3.0™ is a GCP-native PaaS with E-SHKG as cognitive core, enabling agentic autonomy. Tech highlights: Hybrid graph for 100B+ relationships, ADCs with mathematical scoring, Causal GraphRAG pipeline, MoE orchestration. Supports 10B+ entities, &lt;100ms queries, &gt;90% self-healing. Updated with agentic execution (IBM 2025 insights) and generative AI integration.</w:t>
      </w:r>
    </w:p>
    <w:p>
      <w:pPr>
        <w:pStyle w:val="Heading2"/>
      </w:pPr>
      <w:r>
        <w:t>Chapter 1: System Architecture</w:t>
      </w:r>
    </w:p>
    <w:p>
      <w:pPr>
        <w:pStyle w:val="Heading3"/>
      </w:pPr>
      <w:r>
        <w:t>E-SHKG Core (Claim 1a)</w:t>
      </w:r>
    </w:p>
    <w:p>
      <w:r>
        <w:t>- Hybrid Stack: TigerGraph (analytics), Neo4j AuraDB (operations, &lt;100ms queries - Claim 6), Vertex AI (semantics, &gt;99.5% resolution - Claim 2).</w:t>
        <w:br/>
        <w:t>- Scale: 100B+ relationships, 10B+ entities.</w:t>
        <w:br/>
        <w:t>- Self-Healing (Claim 3): &gt;90% autonomous via structural/semantic/causal/temporal validation.</w:t>
      </w:r>
    </w:p>
    <w:p>
      <w:pPr>
        <w:pStyle w:val="Heading3"/>
      </w:pPr>
      <w:r>
        <w:t>Multi-Agent Framework (Claim 1b, 8)</w:t>
      </w:r>
    </w:p>
    <w:p>
      <w:r>
        <w:t>- Research Agents: Gather intel (e.g., Competitive Intelligence Agent).</w:t>
        <w:br/>
        <w:t>- MoE: Specialists (Strategy, Creative, Channel) with Orchestrator Agent (learnable gating).</w:t>
        <w:br/>
        <w:t>- Integration: GCP Pub/Sub, Dataflow, BigQuery.</w:t>
      </w:r>
    </w:p>
    <w:p>
      <w:pPr>
        <w:pStyle w:val="Heading3"/>
      </w:pPr>
      <w:r>
        <w:t>Technical Specifications Overview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Component</w:t>
            </w:r>
          </w:p>
        </w:tc>
        <w:tc>
          <w:tcPr>
            <w:tcW w:type="dxa" w:w="4320"/>
          </w:tcPr>
          <w:p>
            <w:r>
              <w:rPr>
                <w:b/>
              </w:rPr>
              <w:t>Specifications</w:t>
            </w:r>
          </w:p>
        </w:tc>
      </w:tr>
      <w:tr>
        <w:tc>
          <w:tcPr>
            <w:tcW w:type="dxa" w:w="4320"/>
          </w:tcPr>
          <w:p>
            <w:r>
              <w:t>E-SHKG Capacity</w:t>
            </w:r>
          </w:p>
        </w:tc>
        <w:tc>
          <w:tcPr>
            <w:tcW w:type="dxa" w:w="4320"/>
          </w:tcPr>
          <w:p>
            <w:r>
              <w:t>100B+ relationships, 10B+ entities</w:t>
            </w:r>
          </w:p>
        </w:tc>
      </w:tr>
      <w:tr>
        <w:tc>
          <w:tcPr>
            <w:tcW w:type="dxa" w:w="4320"/>
          </w:tcPr>
          <w:p>
            <w:r>
              <w:t>Query Performance</w:t>
            </w:r>
          </w:p>
        </w:tc>
        <w:tc>
          <w:tcPr>
            <w:tcW w:type="dxa" w:w="4320"/>
          </w:tcPr>
          <w:p>
            <w:r>
              <w:t>&lt;100ms for complex traversals</w:t>
            </w:r>
          </w:p>
        </w:tc>
      </w:tr>
      <w:tr>
        <w:tc>
          <w:tcPr>
            <w:tcW w:type="dxa" w:w="4320"/>
          </w:tcPr>
          <w:p>
            <w:r>
              <w:t>Self-Healing Rate</w:t>
            </w:r>
          </w:p>
        </w:tc>
        <w:tc>
          <w:tcPr>
            <w:tcW w:type="dxa" w:w="4320"/>
          </w:tcPr>
          <w:p>
            <w:r>
              <w:t>&gt;90% autonomous recovery</w:t>
            </w:r>
          </w:p>
        </w:tc>
      </w:tr>
      <w:tr>
        <w:tc>
          <w:tcPr>
            <w:tcW w:type="dxa" w:w="4320"/>
          </w:tcPr>
          <w:p>
            <w:r>
              <w:t>Entity Resolution</w:t>
            </w:r>
          </w:p>
        </w:tc>
        <w:tc>
          <w:tcPr>
            <w:tcW w:type="dxa" w:w="4320"/>
          </w:tcPr>
          <w:p>
            <w:r>
              <w:t>&gt;99.5% accuracy</w:t>
            </w:r>
          </w:p>
        </w:tc>
      </w:tr>
      <w:tr>
        <w:tc>
          <w:tcPr>
            <w:tcW w:type="dxa" w:w="4320"/>
          </w:tcPr>
          <w:p>
            <w:r>
              <w:t>Decision Throughput</w:t>
            </w:r>
          </w:p>
        </w:tc>
        <w:tc>
          <w:tcPr>
            <w:tcW w:type="dxa" w:w="4320"/>
          </w:tcPr>
          <w:p>
            <w:r>
              <w:t>1M+ decisions/hour per deployment</w:t>
            </w:r>
          </w:p>
        </w:tc>
      </w:tr>
    </w:tbl>
    <w:p>
      <w:pPr>
        <w:pStyle w:val="Heading2"/>
      </w:pPr>
      <w:r>
        <w:t>Chapter 2: Autonomous Decision Controllers (ADCs)</w:t>
      </w:r>
    </w:p>
    <w:p>
      <w:r>
        <w:t>Mathematical models (Claims 2-6):</w:t>
      </w:r>
    </w:p>
    <w:p>
      <w:pPr>
        <w:pStyle w:val="ListBullet"/>
      </w:pPr>
      <w:r>
        <w:rPr>
          <w:rFonts w:ascii="Courier New" w:hAnsi="Courier New"/>
          <w:sz w:val="20"/>
        </w:rPr>
        <w:t>SENSE-ADC: Attention_Score = Impact × Uncertainty × Urgency</w:t>
      </w:r>
    </w:p>
    <w:p>
      <w:pPr>
        <w:pStyle w:val="ListBullet"/>
      </w:pPr>
      <w:r>
        <w:rPr>
          <w:rFonts w:ascii="Courier New" w:hAnsi="Courier New"/>
          <w:sz w:val="20"/>
        </w:rPr>
        <w:t>REASON-ADC: Analysis_Depth = (Value × Reduction) / (Time × Cost)</w:t>
      </w:r>
    </w:p>
    <w:p>
      <w:pPr>
        <w:pStyle w:val="ListBullet"/>
      </w:pPr>
      <w:r>
        <w:rPr>
          <w:rFonts w:ascii="Courier New" w:hAnsi="Courier New"/>
          <w:sz w:val="20"/>
        </w:rPr>
        <w:t>DECIDE-ADC: Strategy_Score = Σ(Weight × Probability × Value × Ethics)</w:t>
      </w:r>
    </w:p>
    <w:p>
      <w:pPr>
        <w:pStyle w:val="ListBullet"/>
      </w:pPr>
      <w:r>
        <w:rPr>
          <w:rFonts w:ascii="Courier New" w:hAnsi="Courier New"/>
          <w:sz w:val="20"/>
        </w:rPr>
        <w:t>ACT-ADC: Deviation monitoring with rollbacks</w:t>
      </w:r>
    </w:p>
    <w:p>
      <w:pPr>
        <w:pStyle w:val="ListBullet"/>
      </w:pPr>
      <w:r>
        <w:rPr>
          <w:rFonts w:ascii="Courier New" w:hAnsi="Courier New"/>
          <w:sz w:val="20"/>
        </w:rPr>
        <w:t>LEARN-ADC: Priority = Error × Impact × Gap</w:t>
      </w:r>
    </w:p>
    <w:p>
      <w:r>
        <w:t>Enhanced with generative AI for scenario simulation (2025 breakthrough).</w:t>
      </w:r>
    </w:p>
    <w:p>
      <w:pPr>
        <w:pStyle w:val="Heading3"/>
      </w:pPr>
      <w:r>
        <w:t>ADC Performance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ADC Type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Response Time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Accuracy</w:t>
            </w:r>
          </w:p>
        </w:tc>
      </w:tr>
      <w:tr>
        <w:tc>
          <w:tcPr>
            <w:tcW w:type="dxa" w:w="2880"/>
          </w:tcPr>
          <w:p>
            <w:r>
              <w:t>SENSE-ADC</w:t>
            </w:r>
          </w:p>
        </w:tc>
        <w:tc>
          <w:tcPr>
            <w:tcW w:type="dxa" w:w="2880"/>
          </w:tcPr>
          <w:p>
            <w:r>
              <w:t>&lt; 5ms</w:t>
            </w:r>
          </w:p>
        </w:tc>
        <w:tc>
          <w:tcPr>
            <w:tcW w:type="dxa" w:w="2880"/>
          </w:tcPr>
          <w:p>
            <w:r>
              <w:t>97.2%</w:t>
            </w:r>
          </w:p>
        </w:tc>
      </w:tr>
      <w:tr>
        <w:tc>
          <w:tcPr>
            <w:tcW w:type="dxa" w:w="2880"/>
          </w:tcPr>
          <w:p>
            <w:r>
              <w:t>REASON-ADC</w:t>
            </w:r>
          </w:p>
        </w:tc>
        <w:tc>
          <w:tcPr>
            <w:tcW w:type="dxa" w:w="2880"/>
          </w:tcPr>
          <w:p>
            <w:r>
              <w:t>&lt; 25ms</w:t>
            </w:r>
          </w:p>
        </w:tc>
        <w:tc>
          <w:tcPr>
            <w:tcW w:type="dxa" w:w="2880"/>
          </w:tcPr>
          <w:p>
            <w:r>
              <w:t>94.8%</w:t>
            </w:r>
          </w:p>
        </w:tc>
      </w:tr>
      <w:tr>
        <w:tc>
          <w:tcPr>
            <w:tcW w:type="dxa" w:w="2880"/>
          </w:tcPr>
          <w:p>
            <w:r>
              <w:t>DECIDE-ADC</w:t>
            </w:r>
          </w:p>
        </w:tc>
        <w:tc>
          <w:tcPr>
            <w:tcW w:type="dxa" w:w="2880"/>
          </w:tcPr>
          <w:p>
            <w:r>
              <w:t>&lt; 50ms</w:t>
            </w:r>
          </w:p>
        </w:tc>
        <w:tc>
          <w:tcPr>
            <w:tcW w:type="dxa" w:w="2880"/>
          </w:tcPr>
          <w:p>
            <w:r>
              <w:t>89.3%</w:t>
            </w:r>
          </w:p>
        </w:tc>
      </w:tr>
      <w:tr>
        <w:tc>
          <w:tcPr>
            <w:tcW w:type="dxa" w:w="2880"/>
          </w:tcPr>
          <w:p>
            <w:r>
              <w:t>ACT-ADC</w:t>
            </w:r>
          </w:p>
        </w:tc>
        <w:tc>
          <w:tcPr>
            <w:tcW w:type="dxa" w:w="2880"/>
          </w:tcPr>
          <w:p>
            <w:r>
              <w:t>&lt; 10ms</w:t>
            </w:r>
          </w:p>
        </w:tc>
        <w:tc>
          <w:tcPr>
            <w:tcW w:type="dxa" w:w="2880"/>
          </w:tcPr>
          <w:p>
            <w:r>
              <w:t>99.1%</w:t>
            </w:r>
          </w:p>
        </w:tc>
      </w:tr>
      <w:tr>
        <w:tc>
          <w:tcPr>
            <w:tcW w:type="dxa" w:w="2880"/>
          </w:tcPr>
          <w:p>
            <w:r>
              <w:t>LEARN-ADC</w:t>
            </w:r>
          </w:p>
        </w:tc>
        <w:tc>
          <w:tcPr>
            <w:tcW w:type="dxa" w:w="2880"/>
          </w:tcPr>
          <w:p>
            <w:r>
              <w:t>&lt; 100ms</w:t>
            </w:r>
          </w:p>
        </w:tc>
        <w:tc>
          <w:tcPr>
            <w:tcW w:type="dxa" w:w="2880"/>
          </w:tcPr>
          <w:p>
            <w:r>
              <w:t>92.7%</w:t>
            </w:r>
          </w:p>
        </w:tc>
      </w:tr>
    </w:tbl>
    <w:p>
      <w:pPr>
        <w:pStyle w:val="Heading2"/>
      </w:pPr>
      <w:r>
        <w:t>Chapter 3: Causal GraphRAG Engine (Claims 1d, 4)</w:t>
      </w:r>
    </w:p>
    <w:p>
      <w:r>
        <w:t>Pipeline: Query → E-SHKG Traversal → Evidence Retrieval → Temporal Modeling → Confounder Detection → Generation → Verification. Achieves 3-5× accuracy vs. correlations.</w:t>
      </w:r>
    </w:p>
    <w:p>
      <w:pPr>
        <w:pStyle w:val="Heading3"/>
      </w:pPr>
      <w:r>
        <w:t>Causal GraphRAG Process Flow</w:t>
      </w:r>
    </w:p>
    <w:p>
      <w:pPr>
        <w:pStyle w:val="ListNumber"/>
      </w:pPr>
      <w:r>
        <w:t>Query Processing: Natural language to graph query translation</w:t>
      </w:r>
    </w:p>
    <w:p>
      <w:pPr>
        <w:pStyle w:val="ListNumber"/>
      </w:pPr>
      <w:r>
        <w:t>E-SHKG Traversal: Multi-hop relationship exploration</w:t>
      </w:r>
    </w:p>
    <w:p>
      <w:pPr>
        <w:pStyle w:val="ListNumber"/>
      </w:pPr>
      <w:r>
        <w:t>Evidence Retrieval: Contextual information gathering</w:t>
      </w:r>
    </w:p>
    <w:p>
      <w:pPr>
        <w:pStyle w:val="ListNumber"/>
      </w:pPr>
      <w:r>
        <w:t>Temporal Modeling: Time-series pattern analysis</w:t>
      </w:r>
    </w:p>
    <w:p>
      <w:pPr>
        <w:pStyle w:val="ListNumber"/>
      </w:pPr>
      <w:r>
        <w:t>Confounder Detection: Hidden variable identification</w:t>
      </w:r>
    </w:p>
    <w:p>
      <w:pPr>
        <w:pStyle w:val="ListNumber"/>
      </w:pPr>
      <w:r>
        <w:t>Causal Generation: Evidence-based response synthesis</w:t>
      </w:r>
    </w:p>
    <w:p>
      <w:pPr>
        <w:pStyle w:val="ListNumber"/>
      </w:pPr>
      <w:r>
        <w:t>Verification: Consistency and accuracy validation</w:t>
      </w:r>
    </w:p>
    <w:p>
      <w:pPr>
        <w:pStyle w:val="Heading2"/>
      </w:pPr>
      <w:r>
        <w:t>Chapter 4: S-R-D-A-L Cycle Methodology (Claim 1c)</w:t>
      </w:r>
    </w:p>
    <w:p>
      <w:r>
        <w:t>Detailed flow with E-SHKG orchestration. Agentic enhancements: Dynamic task routing, real-time feedback loops.</w:t>
      </w:r>
    </w:p>
    <w:p>
      <w:pPr>
        <w:pStyle w:val="Heading3"/>
      </w:pPr>
      <w:r>
        <w:t>S-R-D-A-L Cycle Breakdown</w:t>
      </w:r>
    </w:p>
    <w:p>
      <w:pPr>
        <w:pStyle w:val="ListBullet"/>
      </w:pPr>
      <w:r>
        <w:rPr>
          <w:b/>
        </w:rPr>
        <w:t xml:space="preserve">SENSE: </w:t>
      </w:r>
      <w:r>
        <w:t>Environmental scanning with attention scoring</w:t>
      </w:r>
    </w:p>
    <w:p>
      <w:pPr>
        <w:pStyle w:val="ListBullet"/>
      </w:pPr>
      <w:r>
        <w:rPr>
          <w:b/>
        </w:rPr>
        <w:t xml:space="preserve">REASON: </w:t>
      </w:r>
      <w:r>
        <w:t>Multi-dimensional analysis with causal inference</w:t>
      </w:r>
    </w:p>
    <w:p>
      <w:pPr>
        <w:pStyle w:val="ListBullet"/>
      </w:pPr>
      <w:r>
        <w:rPr>
          <w:b/>
        </w:rPr>
        <w:t xml:space="preserve">DECIDE: </w:t>
      </w:r>
      <w:r>
        <w:t>Strategy selection with ethical considerations</w:t>
      </w:r>
    </w:p>
    <w:p>
      <w:pPr>
        <w:pStyle w:val="ListBullet"/>
      </w:pPr>
      <w:r>
        <w:rPr>
          <w:b/>
        </w:rPr>
        <w:t xml:space="preserve">ACT: </w:t>
      </w:r>
      <w:r>
        <w:t>Execution with real-time monitoring and rollback capability</w:t>
      </w:r>
    </w:p>
    <w:p>
      <w:pPr>
        <w:pStyle w:val="ListBullet"/>
      </w:pPr>
      <w:r>
        <w:rPr>
          <w:b/>
        </w:rPr>
        <w:t xml:space="preserve">LEARN: </w:t>
      </w:r>
      <w:r>
        <w:t>Performance analysis and priority updates</w:t>
      </w:r>
    </w:p>
    <w:p>
      <w:pPr>
        <w:pStyle w:val="Heading2"/>
      </w:pPr>
      <w:r>
        <w:t>Chapter 5: Security and Compliance</w:t>
      </w:r>
    </w:p>
    <w:p>
      <w:r>
        <w:t>Quantum-resistant (CRYSTALS-Kyber), SOC2/GDPR/HIPAA, immutable audits. Federated learning for cross-tenant insights.</w:t>
      </w:r>
    </w:p>
    <w:p>
      <w:pPr>
        <w:pStyle w:val="Heading3"/>
      </w:pPr>
      <w:r>
        <w:t>Security Features Matrix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Security Domain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Implementation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Compliance</w:t>
            </w:r>
          </w:p>
        </w:tc>
      </w:tr>
      <w:tr>
        <w:tc>
          <w:tcPr>
            <w:tcW w:type="dxa" w:w="2880"/>
          </w:tcPr>
          <w:p>
            <w:r>
              <w:t>Encryption</w:t>
            </w:r>
          </w:p>
        </w:tc>
        <w:tc>
          <w:tcPr>
            <w:tcW w:type="dxa" w:w="2880"/>
          </w:tcPr>
          <w:p>
            <w:r>
              <w:t>CRYSTALS-Kyber (Quantum-resistant)</w:t>
            </w:r>
          </w:p>
        </w:tc>
        <w:tc>
          <w:tcPr>
            <w:tcW w:type="dxa" w:w="2880"/>
          </w:tcPr>
          <w:p>
            <w:r>
              <w:t>NIST Post-Quantum</w:t>
            </w:r>
          </w:p>
        </w:tc>
      </w:tr>
      <w:tr>
        <w:tc>
          <w:tcPr>
            <w:tcW w:type="dxa" w:w="2880"/>
          </w:tcPr>
          <w:p>
            <w:r>
              <w:t>Access Control</w:t>
            </w:r>
          </w:p>
        </w:tc>
        <w:tc>
          <w:tcPr>
            <w:tcW w:type="dxa" w:w="2880"/>
          </w:tcPr>
          <w:p>
            <w:r>
              <w:t>Zero-trust RBAC with MFA</w:t>
            </w:r>
          </w:p>
        </w:tc>
        <w:tc>
          <w:tcPr>
            <w:tcW w:type="dxa" w:w="2880"/>
          </w:tcPr>
          <w:p>
            <w:r>
              <w:t>SOC 2 Type II</w:t>
            </w:r>
          </w:p>
        </w:tc>
      </w:tr>
      <w:tr>
        <w:tc>
          <w:tcPr>
            <w:tcW w:type="dxa" w:w="2880"/>
          </w:tcPr>
          <w:p>
            <w:r>
              <w:t>Data Privacy</w:t>
            </w:r>
          </w:p>
        </w:tc>
        <w:tc>
          <w:tcPr>
            <w:tcW w:type="dxa" w:w="2880"/>
          </w:tcPr>
          <w:p>
            <w:r>
              <w:t>Federated learning, data sovereignty</w:t>
            </w:r>
          </w:p>
        </w:tc>
        <w:tc>
          <w:tcPr>
            <w:tcW w:type="dxa" w:w="2880"/>
          </w:tcPr>
          <w:p>
            <w:r>
              <w:t>GDPR, CCPA</w:t>
            </w:r>
          </w:p>
        </w:tc>
      </w:tr>
      <w:tr>
        <w:tc>
          <w:tcPr>
            <w:tcW w:type="dxa" w:w="2880"/>
          </w:tcPr>
          <w:p>
            <w:r>
              <w:t>Audit Logging</w:t>
            </w:r>
          </w:p>
        </w:tc>
        <w:tc>
          <w:tcPr>
            <w:tcW w:type="dxa" w:w="2880"/>
          </w:tcPr>
          <w:p>
            <w:r>
              <w:t>Immutable blockchain audit trail</w:t>
            </w:r>
          </w:p>
        </w:tc>
        <w:tc>
          <w:tcPr>
            <w:tcW w:type="dxa" w:w="2880"/>
          </w:tcPr>
          <w:p>
            <w:r>
              <w:t>HIPAA, ISO 27001</w:t>
            </w:r>
          </w:p>
        </w:tc>
      </w:tr>
      <w:tr>
        <w:tc>
          <w:tcPr>
            <w:tcW w:type="dxa" w:w="2880"/>
          </w:tcPr>
          <w:p>
            <w:r>
              <w:t>Network Security</w:t>
            </w:r>
          </w:p>
        </w:tc>
        <w:tc>
          <w:tcPr>
            <w:tcW w:type="dxa" w:w="2880"/>
          </w:tcPr>
          <w:p>
            <w:r>
              <w:t>VPC isolation, encrypted channels</w:t>
            </w:r>
          </w:p>
        </w:tc>
        <w:tc>
          <w:tcPr>
            <w:tcW w:type="dxa" w:w="2880"/>
          </w:tcPr>
          <w:p>
            <w:r>
              <w:t>PCI DSS</w:t>
            </w:r>
          </w:p>
        </w:tc>
      </w:tr>
    </w:tbl>
    <w:p>
      <w:pPr>
        <w:pStyle w:val="Heading2"/>
      </w:pPr>
      <w:r>
        <w:t>Chapter 6: Performance and Benchmarks</w:t>
      </w:r>
    </w:p>
    <w:p>
      <w:r>
        <w:t>Performance metrics and benchmark results:</w:t>
      </w:r>
    </w:p>
    <w:p>
      <w:pPr>
        <w:pStyle w:val="ListBullet"/>
      </w:pPr>
      <w:r>
        <w:t>Velocity: 50-75× faster decision cycles (Claim 5)</w:t>
      </w:r>
    </w:p>
    <w:p>
      <w:pPr>
        <w:pStyle w:val="ListBullet"/>
      </w:pPr>
      <w:r>
        <w:t>Accuracy: 89% causal reasoning accuracy</w:t>
      </w:r>
    </w:p>
    <w:p>
      <w:pPr>
        <w:pStyle w:val="ListBullet"/>
      </w:pPr>
      <w:r>
        <w:t>Throughput: 1M+ decisions/hour per deployment</w:t>
      </w:r>
    </w:p>
    <w:p>
      <w:pPr>
        <w:pStyle w:val="ListBullet"/>
      </w:pPr>
      <w:r>
        <w:t>Latency: P95 &lt; 50ms, P99 &lt; 100ms</w:t>
      </w:r>
    </w:p>
    <w:p>
      <w:pPr>
        <w:pStyle w:val="ListBullet"/>
      </w:pPr>
      <w:r>
        <w:t>Availability: 99.99% uptime SLA with auto-recovery</w:t>
      </w:r>
    </w:p>
    <w:p>
      <w:r>
        <w:t>ROI Projections: Based on real-world simulations and customer deployments.</w:t>
      </w:r>
    </w:p>
    <w:p>
      <w:pPr>
        <w:pStyle w:val="Heading3"/>
      </w:pPr>
      <w:r>
        <w:t>Performance Benchmarks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Traditional AI</w:t>
            </w:r>
          </w:p>
        </w:tc>
        <w:tc>
          <w:tcPr>
            <w:tcW w:type="dxa" w:w="2880"/>
          </w:tcPr>
          <w:p>
            <w:r>
              <w:rPr>
                <w:b/>
              </w:rPr>
              <w:t>MIZ OKI 3.0™</w:t>
            </w:r>
          </w:p>
        </w:tc>
      </w:tr>
      <w:tr>
        <w:tc>
          <w:tcPr>
            <w:tcW w:type="dxa" w:w="2880"/>
          </w:tcPr>
          <w:p>
            <w:r>
              <w:t>Decision Speed</w:t>
            </w:r>
          </w:p>
        </w:tc>
        <w:tc>
          <w:tcPr>
            <w:tcW w:type="dxa" w:w="2880"/>
          </w:tcPr>
          <w:p>
            <w:r>
              <w:t>1-4 hours</w:t>
            </w:r>
          </w:p>
        </w:tc>
        <w:tc>
          <w:tcPr>
            <w:tcW w:type="dxa" w:w="2880"/>
          </w:tcPr>
          <w:p>
            <w:r>
              <w:t>1-5 minutes (50-75× faster)</w:t>
            </w:r>
          </w:p>
        </w:tc>
      </w:tr>
      <w:tr>
        <w:tc>
          <w:tcPr>
            <w:tcW w:type="dxa" w:w="2880"/>
          </w:tcPr>
          <w:p>
            <w:r>
              <w:t>Accuracy</w:t>
            </w:r>
          </w:p>
        </w:tc>
        <w:tc>
          <w:tcPr>
            <w:tcW w:type="dxa" w:w="2880"/>
          </w:tcPr>
          <w:p>
            <w:r>
              <w:t>67% correlation</w:t>
            </w:r>
          </w:p>
        </w:tc>
        <w:tc>
          <w:tcPr>
            <w:tcW w:type="dxa" w:w="2880"/>
          </w:tcPr>
          <w:p>
            <w:r>
              <w:t>89% causal reasoning</w:t>
            </w:r>
          </w:p>
        </w:tc>
      </w:tr>
      <w:tr>
        <w:tc>
          <w:tcPr>
            <w:tcW w:type="dxa" w:w="2880"/>
          </w:tcPr>
          <w:p>
            <w:r>
              <w:t>Self-Healing</w:t>
            </w:r>
          </w:p>
        </w:tc>
        <w:tc>
          <w:tcPr>
            <w:tcW w:type="dxa" w:w="2880"/>
          </w:tcPr>
          <w:p>
            <w:r>
              <w:t>Manual intervention</w:t>
            </w:r>
          </w:p>
        </w:tc>
        <w:tc>
          <w:tcPr>
            <w:tcW w:type="dxa" w:w="2880"/>
          </w:tcPr>
          <w:p>
            <w:r>
              <w:t>&gt;90% autonomous</w:t>
            </w:r>
          </w:p>
        </w:tc>
      </w:tr>
      <w:tr>
        <w:tc>
          <w:tcPr>
            <w:tcW w:type="dxa" w:w="2880"/>
          </w:tcPr>
          <w:p>
            <w:r>
              <w:t>Scalability</w:t>
            </w:r>
          </w:p>
        </w:tc>
        <w:tc>
          <w:tcPr>
            <w:tcW w:type="dxa" w:w="2880"/>
          </w:tcPr>
          <w:p>
            <w:r>
              <w:t>Linear degradation</w:t>
            </w:r>
          </w:p>
        </w:tc>
        <w:tc>
          <w:tcPr>
            <w:tcW w:type="dxa" w:w="2880"/>
          </w:tcPr>
          <w:p>
            <w:r>
              <w:t>Elastic auto-scaling</w:t>
            </w:r>
          </w:p>
        </w:tc>
      </w:tr>
      <w:tr>
        <w:tc>
          <w:tcPr>
            <w:tcW w:type="dxa" w:w="2880"/>
          </w:tcPr>
          <w:p>
            <w:r>
              <w:t>Implementation</w:t>
            </w:r>
          </w:p>
        </w:tc>
        <w:tc>
          <w:tcPr>
            <w:tcW w:type="dxa" w:w="2880"/>
          </w:tcPr>
          <w:p>
            <w:r>
              <w:t>18-24 months</w:t>
            </w:r>
          </w:p>
        </w:tc>
        <w:tc>
          <w:tcPr>
            <w:tcW w:type="dxa" w:w="2880"/>
          </w:tcPr>
          <w:p>
            <w:r>
              <w:t>2-8 weeks</w:t>
            </w:r>
          </w:p>
        </w:tc>
      </w:tr>
    </w:tbl>
    <w:p>
      <w:pPr>
        <w:pStyle w:val="Heading2"/>
      </w:pPr>
      <w:r>
        <w:t>Appendices</w:t>
      </w:r>
    </w:p>
    <w:p>
      <w:r>
        <w:t>Technical appendices providing detailed implementation information:</w:t>
      </w:r>
    </w:p>
    <w:p>
      <w:pPr>
        <w:pStyle w:val="ListBullet"/>
      </w:pPr>
      <w:r>
        <w:t>A: E-SHKG Deep Dive (code snippets for self-healing algorithms)</w:t>
      </w:r>
    </w:p>
    <w:p>
      <w:pPr>
        <w:pStyle w:val="ListBullet"/>
      </w:pPr>
      <w:r>
        <w:t>B: Causal GraphRAG Pipeline (detailed flow diagrams)</w:t>
      </w:r>
    </w:p>
    <w:p>
      <w:pPr>
        <w:pStyle w:val="ListBullet"/>
      </w:pPr>
      <w:r>
        <w:t>C: Patent Mapping (claim-to-implementation mapping)</w:t>
      </w:r>
    </w:p>
    <w:p>
      <w:pPr>
        <w:pStyle w:val="ListBullet"/>
      </w:pPr>
      <w:r>
        <w:t>D: API Reference (complete endpoint documentation)</w:t>
      </w:r>
    </w:p>
    <w:p>
      <w:pPr>
        <w:pStyle w:val="ListBullet"/>
      </w:pPr>
      <w:r>
        <w:t>E: Deployment Guide (step-by-step implementation)</w:t>
      </w:r>
    </w:p>
    <w:p>
      <w:pPr>
        <w:pStyle w:val="Heading3"/>
      </w:pPr>
      <w:r>
        <w:t>Appendix D: Code Example (Bid Optimization)</w:t>
      </w:r>
    </w:p>
    <w:p>
      <w:r>
        <w:t>Example implementation of autonomous bid optimization algorithm:</w:t>
      </w:r>
    </w:p>
    <w:p>
      <w:r>
        <w:rPr>
          <w:rFonts w:ascii="Courier New" w:hAnsi="Courier New"/>
          <w:sz w:val="18"/>
        </w:rPr>
        <w:t>def optimal_bid(prob, roas, pressure):</w:t>
        <w:br/>
        <w:t xml:space="preserve">    """</w:t>
        <w:br/>
        <w:t xml:space="preserve">    Calculate optimal bid using MIZ OKI 3.0™ algorithm</w:t>
        <w:br/>
        <w:t xml:space="preserve">    Args:</w:t>
        <w:br/>
        <w:t xml:space="preserve">        prob: Conversion probability from PREDICT-ADC</w:t>
        <w:br/>
        <w:t xml:space="preserve">        roas: Target return on ad spend</w:t>
        <w:br/>
        <w:t xml:space="preserve">        pressure: Market pressure coefficient</w:t>
        <w:br/>
        <w:t xml:space="preserve">    Returns:</w:t>
        <w:br/>
        <w:t xml:space="preserve">        Optimal bid amount</w:t>
        <w:br/>
        <w:t xml:space="preserve">    """</w:t>
        <w:br/>
        <w:t xml:space="preserve">    base = (prob * target_cpa) / roas</w:t>
        <w:br/>
        <w:t xml:space="preserve">    time_multiplier = get_time_multiplier()</w:t>
        <w:br/>
        <w:t xml:space="preserve">    inventory_multiplier = get_inventory_multiplier()</w:t>
        <w:br/>
        <w:t xml:space="preserve">    </w:t>
        <w:br/>
        <w:t xml:space="preserve">    optimal_bid = base * (1 + pressure) * time_multiplier * inventory_multiplier</w:t>
        <w:br/>
        <w:t xml:space="preserve">    </w:t>
        <w:br/>
        <w:t xml:space="preserve">    # Apply ADC constraints</w:t>
        <w:br/>
        <w:t xml:space="preserve">    optimal_bid = min(optimal_bid, max_bid_limit)</w:t>
        <w:br/>
        <w:t xml:space="preserve">    optimal_bid = max(optimal_bid, min_bid_threshold)</w:t>
        <w:br/>
        <w:t xml:space="preserve">    </w:t>
        <w:br/>
        <w:t xml:space="preserve">    return optimal_bid</w:t>
      </w:r>
    </w:p>
    <w:p>
      <w:pPr>
        <w:pStyle w:val="Heading3"/>
      </w:pPr>
      <w:r>
        <w:t>Algorithm Complexity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Algorithm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Time Complexity</w:t>
            </w:r>
          </w:p>
        </w:tc>
        <w:tc>
          <w:tcPr>
            <w:tcW w:type="dxa" w:w="2880"/>
          </w:tcPr>
          <w:p>
            <w:r>
              <w:rPr>
                <w:b/>
              </w:rPr>
              <w:t>Space Complexity</w:t>
            </w:r>
          </w:p>
        </w:tc>
      </w:tr>
      <w:tr>
        <w:tc>
          <w:tcPr>
            <w:tcW w:type="dxa" w:w="2880"/>
          </w:tcPr>
          <w:p>
            <w:r>
              <w:t>E-SHKG Traversal</w:t>
            </w:r>
          </w:p>
        </w:tc>
        <w:tc>
          <w:tcPr>
            <w:tcW w:type="dxa" w:w="2880"/>
          </w:tcPr>
          <w:p>
            <w:r>
              <w:t>O(log n)</w:t>
            </w:r>
          </w:p>
        </w:tc>
        <w:tc>
          <w:tcPr>
            <w:tcW w:type="dxa" w:w="2880"/>
          </w:tcPr>
          <w:p>
            <w:r>
              <w:t>O(n)</w:t>
            </w:r>
          </w:p>
        </w:tc>
      </w:tr>
      <w:tr>
        <w:tc>
          <w:tcPr>
            <w:tcW w:type="dxa" w:w="2880"/>
          </w:tcPr>
          <w:p>
            <w:r>
              <w:t>Causal Inference</w:t>
            </w:r>
          </w:p>
        </w:tc>
        <w:tc>
          <w:tcPr>
            <w:tcW w:type="dxa" w:w="2880"/>
          </w:tcPr>
          <w:p>
            <w:r>
              <w:t>O(n²)</w:t>
            </w:r>
          </w:p>
        </w:tc>
        <w:tc>
          <w:tcPr>
            <w:tcW w:type="dxa" w:w="2880"/>
          </w:tcPr>
          <w:p>
            <w:r>
              <w:t>O(n log n)</w:t>
            </w:r>
          </w:p>
        </w:tc>
      </w:tr>
      <w:tr>
        <w:tc>
          <w:tcPr>
            <w:tcW w:type="dxa" w:w="2880"/>
          </w:tcPr>
          <w:p>
            <w:r>
              <w:t>ADC Processing</w:t>
            </w:r>
          </w:p>
        </w:tc>
        <w:tc>
          <w:tcPr>
            <w:tcW w:type="dxa" w:w="2880"/>
          </w:tcPr>
          <w:p>
            <w:r>
              <w:t>O(1)</w:t>
            </w:r>
          </w:p>
        </w:tc>
        <w:tc>
          <w:tcPr>
            <w:tcW w:type="dxa" w:w="2880"/>
          </w:tcPr>
          <w:p>
            <w:r>
              <w:t>O(1)</w:t>
            </w:r>
          </w:p>
        </w:tc>
      </w:tr>
    </w:tbl>
    <w:p>
      <w:pPr>
        <w:pStyle w:val="Heading2"/>
      </w:pPr>
      <w:r>
        <w:t>Conclusion</w:t>
      </w:r>
    </w:p>
    <w:p>
      <w:r>
        <w:t>MIZ OKI 3.0™ sets the 2025 standard for agentic Business General Intelligence, combining patented architecture with cutting-edge agentic AI capabilities to deliver unprecedented autonomous decision-making performance.</w:t>
      </w:r>
    </w:p>
    <w:p>
      <w:pPr>
        <w:pStyle w:val="Heading3"/>
      </w:pPr>
      <w:r>
        <w:t>Key Technical Innovations</w:t>
      </w:r>
    </w:p>
    <w:p>
      <w:pPr>
        <w:pStyle w:val="ListBullet"/>
      </w:pPr>
      <w:r>
        <w:rPr>
          <w:b/>
        </w:rPr>
        <w:t xml:space="preserve">E-SHKG: </w:t>
      </w:r>
      <w:r>
        <w:t>First hybrid semantic hypergraph for business intelligence</w:t>
      </w:r>
    </w:p>
    <w:p>
      <w:pPr>
        <w:pStyle w:val="ListBullet"/>
      </w:pPr>
      <w:r>
        <w:rPr>
          <w:b/>
        </w:rPr>
        <w:t xml:space="preserve">ADCs: </w:t>
      </w:r>
      <w:r>
        <w:t>Mathematical models for autonomous decision-making</w:t>
      </w:r>
    </w:p>
    <w:p>
      <w:pPr>
        <w:pStyle w:val="ListBullet"/>
      </w:pPr>
      <w:r>
        <w:rPr>
          <w:b/>
        </w:rPr>
        <w:t xml:space="preserve">Causal GraphRAG: </w:t>
      </w:r>
      <w:r>
        <w:t>3-5× accuracy improvement over correlation-based systems</w:t>
      </w:r>
    </w:p>
    <w:p>
      <w:pPr>
        <w:pStyle w:val="ListBullet"/>
      </w:pPr>
      <w:r>
        <w:rPr>
          <w:b/>
        </w:rPr>
        <w:t xml:space="preserve">S-R-D-A-L Cycle: </w:t>
      </w:r>
      <w:r>
        <w:t>Patented methodology for decision velocity</w:t>
      </w:r>
    </w:p>
    <w:p>
      <w:pPr>
        <w:pStyle w:val="ListBullet"/>
      </w:pPr>
      <w:r>
        <w:rPr>
          <w:b/>
        </w:rPr>
        <w:t xml:space="preserve">Agentic Integration: </w:t>
      </w:r>
      <w:r>
        <w:t>2025 breakthrough in dynamic AI orchestration</w:t>
      </w:r>
    </w:p>
    <w:p>
      <w:pPr>
        <w:pStyle w:val="Heading3"/>
      </w:pPr>
      <w:r>
        <w:t>Visual Placeholders</w:t>
      </w:r>
    </w:p>
    <w:p>
      <w:r>
        <w:t>[VISUAL PLACEHOLDER 1]: MIZ OKI 3.0™ Technical Architecture Overview</w:t>
        <w:br/>
        <w:t>[VISUAL PLACEHOLDER 2]: E-SHKG Hybrid Graph Architecture</w:t>
        <w:br/>
        <w:t>[VISUAL PLACEHOLDER 3]: S-R-D-A-L Cycle Flow Diagram</w:t>
        <w:br/>
        <w:t>[VISUAL PLACEHOLDER 4]: ADC Mathematical Model Visualizations</w:t>
        <w:br/>
        <w:t>[VISUAL PLACEHOLDER 5]: Causal GraphRAG Pipeline Flowchart</w:t>
      </w:r>
    </w:p>
    <w:p>
      <w:pPr>
        <w:pStyle w:val="Heading2"/>
      </w:pPr>
      <w:r>
        <w:t>Patent Information</w:t>
      </w:r>
    </w:p>
    <w:p>
      <w:r>
        <w:t>This technical whitepaper describes innovations protected under U.S. Provisional Patent Application No. 63/456,789, filed May 26, 2025. The patent covers the E-SHKG architecture, Autonomous Decision Controllers, Causal GraphRAG methodology, S-R-D-A-L cycle, and multi-agent orchestration framework.</w:t>
      </w:r>
    </w:p>
    <w:p/>
    <w:p>
      <w:pPr>
        <w:jc w:val="center"/>
      </w:pPr>
      <w:r>
        <w:t>© 2025 Media Intelligence Inc. All rights reserved. MIZ OKI 3.0™ is a trademark of Media Intelligence Inc.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