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Punto 1</w:t>
      </w:r>
    </w:p>
    <w:p w:rsidR="00000000" w:rsidDel="00000000" w:rsidP="00000000" w:rsidRDefault="00000000" w:rsidRPr="00000000">
      <w:pPr>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Perfil comunidad ORCID</w:t>
      </w:r>
    </w:p>
    <w:p w:rsidR="00000000" w:rsidDel="00000000" w:rsidP="00000000" w:rsidRDefault="00000000" w:rsidRPr="00000000">
      <w:pPr>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grupo ha trabajado con dos excels “ORCID_migrations_2016_12_16_by_ person) y “”. La primera de ella contiene  información  relativa a 741.867 personas. Hay siete variables: phd_year, country_2016, earliest_year, has_phd, phd_country, has_migrated y country_2016.</w:t>
      </w:r>
    </w:p>
    <w:p w:rsidR="00000000" w:rsidDel="00000000" w:rsidP="00000000" w:rsidRDefault="00000000" w:rsidRPr="00000000">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Ninguna de las celdas relacionadas con las variables “has_phd” y “has_migrated” contiene ningún tipo de omisión. Por lo que los datos que se muestran a continuación no tienen ningún tipo de sesgo sobre la muestra.</w:t>
      </w:r>
    </w:p>
    <w:p w:rsidR="00000000" w:rsidDel="00000000" w:rsidP="00000000" w:rsidRDefault="00000000" w:rsidRPr="00000000">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se puede comprobar en la </w:t>
      </w:r>
      <w:r w:rsidDel="00000000" w:rsidR="00000000" w:rsidRPr="00000000">
        <w:rPr>
          <w:rFonts w:ascii="Arial" w:cs="Arial" w:eastAsia="Arial" w:hAnsi="Arial"/>
          <w:b w:val="1"/>
          <w:sz w:val="24"/>
          <w:szCs w:val="24"/>
          <w:rtl w:val="0"/>
        </w:rPr>
        <w:t xml:space="preserve">Tabla 1</w:t>
      </w:r>
      <w:r w:rsidDel="00000000" w:rsidR="00000000" w:rsidRPr="00000000">
        <w:rPr>
          <w:rFonts w:ascii="Arial" w:cs="Arial" w:eastAsia="Arial" w:hAnsi="Arial"/>
          <w:sz w:val="24"/>
          <w:szCs w:val="24"/>
          <w:rtl w:val="0"/>
        </w:rPr>
        <w:t xml:space="preserve">, una mayoría de los individuos (un 55,61 %) no tiene doctorado, mientras que un 44,39 % no posee este tipo de titulación.</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Tabla 1</w:t>
      </w:r>
      <w:r w:rsidDel="00000000" w:rsidR="00000000" w:rsidRPr="00000000">
        <w:rPr>
          <w:rFonts w:ascii="Arial" w:cs="Arial" w:eastAsia="Arial" w:hAnsi="Arial"/>
          <w:sz w:val="24"/>
          <w:szCs w:val="24"/>
          <w:rtl w:val="0"/>
        </w:rPr>
        <w:t xml:space="preserve">.Frecuencia absoluta y relativa de la variables “has_phd”</w:t>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3"/>
        <w:gridCol w:w="2992"/>
        <w:gridCol w:w="2709"/>
        <w:tblGridChange w:id="0">
          <w:tblGrid>
            <w:gridCol w:w="2793"/>
            <w:gridCol w:w="2992"/>
            <w:gridCol w:w="2709"/>
          </w:tblGrid>
        </w:tblGridChange>
      </w:tblGrid>
      <w:tr>
        <w:trPr>
          <w:trHeight w:val="360" w:hRule="atLeast"/>
        </w:trPr>
        <w:tc>
          <w:tcPr>
            <w:shd w:fill="ffe599" w:val="clear"/>
          </w:tcPr>
          <w:p w:rsidR="00000000" w:rsidDel="00000000" w:rsidP="00000000" w:rsidRDefault="00000000" w:rsidRPr="00000000">
            <w:pPr>
              <w:contextualSpacing w:val="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has_phd</w:t>
            </w:r>
          </w:p>
        </w:tc>
        <w:tc>
          <w:tcPr>
            <w:shd w:fill="ffe599" w:val="clear"/>
          </w:tcPr>
          <w:p w:rsidR="00000000" w:rsidDel="00000000" w:rsidP="00000000" w:rsidRDefault="00000000" w:rsidRPr="00000000">
            <w:pPr>
              <w:contextualSpacing w:val="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has_phd (freq)</w:t>
            </w:r>
          </w:p>
        </w:tc>
        <w:tc>
          <w:tcPr>
            <w:shd w:fill="ffe599" w:val="clear"/>
          </w:tcPr>
          <w:p w:rsidR="00000000" w:rsidDel="00000000" w:rsidP="00000000" w:rsidRDefault="00000000" w:rsidRPr="00000000">
            <w:pPr>
              <w:contextualSpacing w:val="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has_phd (%)</w:t>
            </w:r>
          </w:p>
        </w:tc>
      </w:tr>
      <w:tr>
        <w:trPr>
          <w:trHeight w:val="280" w:hRule="atLeast"/>
        </w:trPr>
        <w:tc>
          <w:tcPr/>
          <w:p w:rsidR="00000000" w:rsidDel="00000000" w:rsidP="00000000" w:rsidRDefault="00000000" w:rsidRPr="00000000">
            <w:pPr>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False</w:t>
            </w:r>
          </w:p>
        </w:tc>
        <w:tc>
          <w:tcPr/>
          <w:p w:rsidR="00000000" w:rsidDel="00000000" w:rsidP="00000000" w:rsidRDefault="00000000" w:rsidRPr="00000000">
            <w:pPr>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412.576</w:t>
            </w:r>
          </w:p>
        </w:tc>
        <w:tc>
          <w:tcPr/>
          <w:p w:rsidR="00000000" w:rsidDel="00000000" w:rsidP="00000000" w:rsidRDefault="00000000" w:rsidRPr="00000000">
            <w:pPr>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55,61</w:t>
            </w:r>
          </w:p>
        </w:tc>
      </w:tr>
      <w:tr>
        <w:trPr>
          <w:trHeight w:val="280" w:hRule="atLeast"/>
        </w:trPr>
        <w:tc>
          <w:tcPr/>
          <w:p w:rsidR="00000000" w:rsidDel="00000000" w:rsidP="00000000" w:rsidRDefault="00000000" w:rsidRPr="00000000">
            <w:pPr>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True</w:t>
            </w:r>
          </w:p>
        </w:tc>
        <w:tc>
          <w:tcPr/>
          <w:p w:rsidR="00000000" w:rsidDel="00000000" w:rsidP="00000000" w:rsidRDefault="00000000" w:rsidRPr="00000000">
            <w:pPr>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329.291</w:t>
            </w:r>
          </w:p>
        </w:tc>
        <w:tc>
          <w:tcPr/>
          <w:p w:rsidR="00000000" w:rsidDel="00000000" w:rsidP="00000000" w:rsidRDefault="00000000" w:rsidRPr="00000000">
            <w:pPr>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44,39</w:t>
            </w:r>
          </w:p>
        </w:tc>
      </w:tr>
      <w:tr>
        <w:trPr>
          <w:trHeight w:val="280" w:hRule="atLeast"/>
        </w:trPr>
        <w:tc>
          <w:tcPr>
            <w:shd w:fill="fff2cc" w:val="clear"/>
            <w:vAlign w:val="center"/>
          </w:tcPr>
          <w:p w:rsidR="00000000" w:rsidDel="00000000" w:rsidP="00000000" w:rsidRDefault="00000000" w:rsidRPr="00000000">
            <w:pPr>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00000"/>
                <w:sz w:val="28"/>
                <w:szCs w:val="28"/>
                <w:rtl w:val="0"/>
              </w:rPr>
              <w:t xml:space="preserve">Total</w:t>
            </w:r>
            <w:r w:rsidDel="00000000" w:rsidR="00000000" w:rsidRPr="00000000">
              <w:rPr>
                <w:rtl w:val="0"/>
              </w:rPr>
            </w:r>
          </w:p>
        </w:tc>
        <w:tc>
          <w:tcPr>
            <w:vAlign w:val="center"/>
          </w:tcPr>
          <w:p w:rsidR="00000000" w:rsidDel="00000000" w:rsidP="00000000" w:rsidRDefault="00000000" w:rsidRPr="00000000">
            <w:pPr>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741.867</w:t>
            </w:r>
          </w:p>
        </w:tc>
        <w:tc>
          <w:tcPr/>
          <w:p w:rsidR="00000000" w:rsidDel="00000000" w:rsidP="00000000" w:rsidRDefault="00000000" w:rsidRPr="00000000">
            <w:pPr>
              <w:contextualSpacing w:val="0"/>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de la variable “has_migrated” como se indica en </w:t>
      </w:r>
      <w:r w:rsidDel="00000000" w:rsidR="00000000" w:rsidRPr="00000000">
        <w:rPr>
          <w:rFonts w:ascii="Arial" w:cs="Arial" w:eastAsia="Arial" w:hAnsi="Arial"/>
          <w:b w:val="1"/>
          <w:sz w:val="24"/>
          <w:szCs w:val="24"/>
          <w:rtl w:val="0"/>
        </w:rPr>
        <w:t xml:space="preserve">Tabla 2</w:t>
      </w:r>
      <w:r w:rsidDel="00000000" w:rsidR="00000000" w:rsidRPr="00000000">
        <w:rPr>
          <w:rFonts w:ascii="Arial" w:cs="Arial" w:eastAsia="Arial" w:hAnsi="Arial"/>
          <w:sz w:val="24"/>
          <w:szCs w:val="24"/>
          <w:rtl w:val="0"/>
        </w:rPr>
        <w:t xml:space="preserve">, existe una mayoría de los usuarios (un 85,02 %) no ha emigrado durante su carrera académica, mientras que un 14,98 % si lo ha hecho.   </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Tabla 2</w:t>
      </w:r>
      <w:r w:rsidDel="00000000" w:rsidR="00000000" w:rsidRPr="00000000">
        <w:rPr>
          <w:rFonts w:ascii="Arial" w:cs="Arial" w:eastAsia="Arial" w:hAnsi="Arial"/>
          <w:sz w:val="24"/>
          <w:szCs w:val="24"/>
          <w:rtl w:val="0"/>
        </w:rPr>
        <w:t xml:space="preserve">.Frecuencia absoluta y relativa de la variables “freq”</w:t>
      </w:r>
    </w:p>
    <w:tbl>
      <w:tblPr>
        <w:tblStyle w:val="Table2"/>
        <w:tblW w:w="8494.0" w:type="dxa"/>
        <w:jc w:val="center"/>
        <w:tblLayout w:type="fixed"/>
        <w:tblLook w:val="0400"/>
      </w:tblPr>
      <w:tblGrid>
        <w:gridCol w:w="2538"/>
        <w:gridCol w:w="2978"/>
        <w:gridCol w:w="2978"/>
        <w:tblGridChange w:id="0">
          <w:tblGrid>
            <w:gridCol w:w="2538"/>
            <w:gridCol w:w="2978"/>
            <w:gridCol w:w="2978"/>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has_migrated</w:t>
            </w:r>
          </w:p>
        </w:tc>
        <w:tc>
          <w:tcPr>
            <w:tcBorders>
              <w:top w:color="000000" w:space="0" w:sz="4" w:val="single"/>
              <w:left w:color="000000" w:space="0" w:sz="0" w:val="nil"/>
              <w:bottom w:color="000000" w:space="0" w:sz="4" w:val="single"/>
              <w:right w:color="000000" w:space="0" w:sz="4" w:val="single"/>
            </w:tcBorders>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has_migrated (freq)</w:t>
            </w:r>
          </w:p>
        </w:tc>
        <w:tc>
          <w:tcPr>
            <w:tcBorders>
              <w:top w:color="000000" w:space="0" w:sz="4" w:val="single"/>
              <w:left w:color="000000" w:space="0" w:sz="0" w:val="nil"/>
              <w:bottom w:color="000000" w:space="0" w:sz="4" w:val="single"/>
              <w:right w:color="000000" w:space="0" w:sz="4" w:val="single"/>
            </w:tcBorders>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has_migrated (%)</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False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630.718</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85,02</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True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111.149</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14,98</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00000"/>
                <w:sz w:val="28"/>
                <w:szCs w:val="28"/>
                <w:rtl w:val="0"/>
              </w:rPr>
              <w:t xml:space="preserve">Total</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741.867</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pPr>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el análisis más simple de la earliest_year, a través de la cual se pueden obtener el número usuarios de ORCID en función del país donde éstos iniciaron su carrera universitaria, muestra como grupos mayoritarios (</w:t>
      </w:r>
      <w:r w:rsidDel="00000000" w:rsidR="00000000" w:rsidRPr="00000000">
        <w:rPr>
          <w:rFonts w:ascii="Arial" w:cs="Arial" w:eastAsia="Arial" w:hAnsi="Arial"/>
          <w:b w:val="1"/>
          <w:sz w:val="24"/>
          <w:szCs w:val="24"/>
          <w:rtl w:val="0"/>
        </w:rPr>
        <w:t xml:space="preserve">Tabla 3</w:t>
      </w:r>
      <w:r w:rsidDel="00000000" w:rsidR="00000000" w:rsidRPr="00000000">
        <w:rPr>
          <w:rFonts w:ascii="Arial" w:cs="Arial" w:eastAsia="Arial" w:hAnsi="Arial"/>
          <w:sz w:val="24"/>
          <w:szCs w:val="24"/>
          <w:rtl w:val="0"/>
        </w:rPr>
        <w:t xml:space="preserve">) las personas que iniciaron sus estudios terciarios en Estados Unidos, India, Brasil, China, Gran Bretaña, España, Italia, Rusia, Portugal y Australia. Estos diez estados agrupan a casi al 60 % de los usuarios de la red social. </w:t>
      </w:r>
    </w:p>
    <w:p w:rsidR="00000000" w:rsidDel="00000000" w:rsidP="00000000" w:rsidRDefault="00000000" w:rsidRPr="00000000">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mencionar, que el cruce de los datos de ambas variables y los estudios sesgados permite obtener algunas conclusiones propiamente descriptivas. Como se muestra en  </w:t>
      </w:r>
      <w:r w:rsidDel="00000000" w:rsidR="00000000" w:rsidRPr="00000000">
        <w:rPr>
          <w:rFonts w:ascii="Arial" w:cs="Arial" w:eastAsia="Arial" w:hAnsi="Arial"/>
          <w:b w:val="1"/>
          <w:sz w:val="24"/>
          <w:szCs w:val="24"/>
          <w:rtl w:val="0"/>
        </w:rPr>
        <w:t xml:space="preserve">Tabla 2b</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Tabla 2c </w:t>
      </w:r>
      <w:r w:rsidDel="00000000" w:rsidR="00000000" w:rsidRPr="00000000">
        <w:rPr>
          <w:rFonts w:ascii="Arial" w:cs="Arial" w:eastAsia="Arial" w:hAnsi="Arial"/>
          <w:sz w:val="24"/>
          <w:szCs w:val="24"/>
          <w:rtl w:val="0"/>
        </w:rPr>
        <w:t xml:space="preserve">el cruce de los datos de las variables </w:t>
      </w:r>
      <w:r w:rsidDel="00000000" w:rsidR="00000000" w:rsidRPr="00000000">
        <w:rPr>
          <w:rFonts w:ascii="Arial" w:cs="Arial" w:eastAsia="Arial" w:hAnsi="Arial"/>
          <w:b w:val="1"/>
          <w:sz w:val="24"/>
          <w:szCs w:val="24"/>
          <w:rtl w:val="0"/>
        </w:rPr>
        <w:t xml:space="preserve">has_phd </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has_migrated </w:t>
      </w:r>
      <w:r w:rsidDel="00000000" w:rsidR="00000000" w:rsidRPr="00000000">
        <w:rPr>
          <w:rFonts w:ascii="Arial" w:cs="Arial" w:eastAsia="Arial" w:hAnsi="Arial"/>
          <w:sz w:val="24"/>
          <w:szCs w:val="24"/>
          <w:rtl w:val="0"/>
        </w:rPr>
        <w:t xml:space="preserve"> muestra como </w:t>
      </w:r>
      <w:r w:rsidDel="00000000" w:rsidR="00000000" w:rsidRPr="00000000">
        <w:rPr>
          <w:rFonts w:ascii="Arial" w:cs="Arial" w:eastAsia="Arial" w:hAnsi="Arial"/>
          <w:b w:val="1"/>
          <w:sz w:val="24"/>
          <w:szCs w:val="24"/>
          <w:rtl w:val="0"/>
        </w:rPr>
        <w:t xml:space="preserve">el perfil de usuario de ORCID más dominante es el  de una persona (un 52,01 % de los 741.867 usuarios) que no tiene el doctorado ni ha migrado durante su carrera académica, siendo el segundo grupo el que posee un doctorado y no ha migrado (33,01 %)</w:t>
      </w:r>
      <w:r w:rsidDel="00000000" w:rsidR="00000000" w:rsidRPr="00000000">
        <w:rPr>
          <w:rFonts w:ascii="Arial" w:cs="Arial" w:eastAsia="Arial" w:hAnsi="Arial"/>
          <w:sz w:val="24"/>
          <w:szCs w:val="24"/>
          <w:rtl w:val="0"/>
        </w:rPr>
        <w:t xml:space="preserve">, el tercero el que ha migrado y posee un título de doctorado (11,38 %), mientras que el cuarto lo constituye aquel conformado por aquellas personas que no tiene doctorado pero han migrado (3,61 %). Como se verá a continuación el colectivo  que posee  un título de phd tiene una mayor probabilidad de contestar afirmativamente “true” en la variable “has_migrated”.</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Tabla 2b</w:t>
      </w:r>
      <w:r w:rsidDel="00000000" w:rsidR="00000000" w:rsidRPr="00000000">
        <w:rPr>
          <w:rFonts w:ascii="Arial" w:cs="Arial" w:eastAsia="Arial" w:hAnsi="Arial"/>
          <w:sz w:val="24"/>
          <w:szCs w:val="24"/>
          <w:rtl w:val="0"/>
        </w:rPr>
        <w:t xml:space="preserve">.Frecuencia absoluta de los usuarios en función de si cumplen la condición “true” o “false” relativas a las variables “has_phd” y has_migrated”.</w:t>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1605"/>
        <w:gridCol w:w="1605"/>
        <w:gridCol w:w="1605"/>
        <w:gridCol w:w="1604"/>
        <w:tblGridChange w:id="0">
          <w:tblGrid>
            <w:gridCol w:w="2075"/>
            <w:gridCol w:w="1605"/>
            <w:gridCol w:w="1605"/>
            <w:gridCol w:w="1605"/>
            <w:gridCol w:w="1604"/>
          </w:tblGrid>
        </w:tblGridChange>
      </w:tblGrid>
      <w:tr>
        <w:trPr>
          <w:trHeight w:val="280" w:hRule="atLeast"/>
        </w:trPr>
        <w:tc>
          <w:tcPr>
            <w:gridSpan w:val="2"/>
            <w:vMerge w:val="restart"/>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gridSpan w:val="3"/>
            <w:shd w:fill="ffe699"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has_phd</w:t>
            </w:r>
            <w:r w:rsidDel="00000000" w:rsidR="00000000" w:rsidRPr="00000000">
              <w:rPr>
                <w:rtl w:val="0"/>
              </w:rPr>
            </w:r>
          </w:p>
        </w:tc>
      </w:tr>
      <w:tr>
        <w:trPr>
          <w:trHeight w:val="280" w:hRule="atLeast"/>
        </w:trPr>
        <w:tc>
          <w:tcPr>
            <w:gridSpan w:val="2"/>
            <w:vMerge w:val="continue"/>
            <w:shd w:fill="auto" w:val="clear"/>
            <w:vAlign w:val="bottom"/>
          </w:tcPr>
          <w:p w:rsidR="00000000" w:rsidDel="00000000" w:rsidP="00000000" w:rsidRDefault="00000000" w:rsidRPr="000000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True</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False</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Total</w:t>
            </w:r>
          </w:p>
        </w:tc>
      </w:tr>
      <w:tr>
        <w:trPr>
          <w:trHeight w:val="280" w:hRule="atLeast"/>
        </w:trPr>
        <w:tc>
          <w:tcPr>
            <w:vMerge w:val="restart"/>
            <w:shd w:fill="ffeb9c"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rPr>
            </w:pPr>
            <w:r w:rsidDel="00000000" w:rsidR="00000000" w:rsidRPr="00000000">
              <w:rPr>
                <w:rFonts w:ascii="Calibri" w:cs="Calibri" w:eastAsia="Calibri" w:hAnsi="Calibri"/>
                <w:b w:val="1"/>
                <w:color w:val="000000"/>
                <w:rtl w:val="0"/>
              </w:rPr>
              <w:t xml:space="preserve">has_migrated</w:t>
            </w:r>
            <w:r w:rsidDel="00000000" w:rsidR="00000000" w:rsidRPr="00000000">
              <w:rPr>
                <w:rtl w:val="0"/>
              </w:rPr>
            </w:r>
          </w:p>
        </w:tc>
        <w:tc>
          <w:tcPr>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True</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84.389</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26.760</w:t>
            </w:r>
          </w:p>
        </w:tc>
        <w:tc>
          <w:tcPr>
            <w:shd w:fill="d9d9d9"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111.149</w:t>
            </w:r>
          </w:p>
        </w:tc>
      </w:tr>
      <w:tr>
        <w:trPr>
          <w:trHeight w:val="280" w:hRule="atLeast"/>
        </w:trPr>
        <w:tc>
          <w:tcPr>
            <w:vMerge w:val="continue"/>
            <w:shd w:fill="ffeb9c" w:val="clear"/>
            <w:vAlign w:val="center"/>
          </w:tcPr>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False</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244.902</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385.816</w:t>
            </w:r>
          </w:p>
        </w:tc>
        <w:tc>
          <w:tcPr>
            <w:shd w:fill="d9d9d9"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630.718</w:t>
            </w:r>
          </w:p>
        </w:tc>
      </w:tr>
      <w:tr>
        <w:trPr>
          <w:trHeight w:val="280" w:hRule="atLeast"/>
        </w:trPr>
        <w:tc>
          <w:tcPr>
            <w:vMerge w:val="continue"/>
            <w:shd w:fill="ffeb9c" w:val="clear"/>
            <w:vAlign w:val="center"/>
          </w:tcPr>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tc>
        <w:tc>
          <w:tcPr>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Total</w:t>
            </w:r>
          </w:p>
        </w:tc>
        <w:tc>
          <w:tcPr>
            <w:shd w:fill="d9d9d9"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329.291</w:t>
            </w:r>
          </w:p>
        </w:tc>
        <w:tc>
          <w:tcPr>
            <w:shd w:fill="d9d9d9"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412.576</w:t>
            </w:r>
          </w:p>
        </w:tc>
        <w:tc>
          <w:tcPr>
            <w:shd w:fill="a6a6a6"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741.867</w:t>
            </w:r>
          </w:p>
        </w:tc>
      </w:tr>
    </w:tbl>
    <w:p w:rsidR="00000000" w:rsidDel="00000000" w:rsidP="00000000" w:rsidRDefault="00000000" w:rsidRPr="00000000">
      <w:pPr>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Tabla 2c</w:t>
      </w:r>
      <w:r w:rsidDel="00000000" w:rsidR="00000000" w:rsidRPr="00000000">
        <w:rPr>
          <w:rFonts w:ascii="Arial" w:cs="Arial" w:eastAsia="Arial" w:hAnsi="Arial"/>
          <w:sz w:val="24"/>
          <w:szCs w:val="24"/>
          <w:rtl w:val="0"/>
        </w:rPr>
        <w:t xml:space="preserve">.Frecuencia relativa de los usuarios en función de si cumplen la condición “true” o “false” relativas a las variables “has_phd” y has_migrated”.</w:t>
      </w:r>
    </w:p>
    <w:tbl>
      <w:tblPr>
        <w:tblStyle w:val="Table4"/>
        <w:tblW w:w="849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1"/>
        <w:gridCol w:w="1984"/>
        <w:gridCol w:w="2231"/>
        <w:gridCol w:w="878"/>
        <w:tblGridChange w:id="0">
          <w:tblGrid>
            <w:gridCol w:w="3401"/>
            <w:gridCol w:w="1984"/>
            <w:gridCol w:w="2231"/>
            <w:gridCol w:w="878"/>
          </w:tblGrid>
        </w:tblGridChange>
      </w:tblGrid>
      <w:tr>
        <w:trPr>
          <w:trHeight w:val="300" w:hRule="atLeast"/>
        </w:trPr>
        <w:tc>
          <w:tcPr>
            <w:gridSpan w:val="2"/>
            <w:vMerge w:val="restart"/>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2"/>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has_phd</w:t>
            </w:r>
          </w:p>
        </w:tc>
      </w:tr>
      <w:tr>
        <w:trPr>
          <w:trHeight w:val="300" w:hRule="atLeast"/>
        </w:trPr>
        <w:tc>
          <w:tcPr>
            <w:gridSpan w:val="2"/>
            <w:vMerge w:val="continue"/>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c>
          <w:tcPr>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True</w:t>
            </w:r>
          </w:p>
        </w:tc>
        <w:tc>
          <w:tcPr>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False</w:t>
            </w:r>
          </w:p>
        </w:tc>
      </w:tr>
      <w:tr>
        <w:trPr>
          <w:trHeight w:val="300" w:hRule="atLeast"/>
        </w:trPr>
        <w:tc>
          <w:tcPr>
            <w:vMerge w:val="restart"/>
            <w:shd w:fill="ffeb9c"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has_migrated</w:t>
            </w:r>
          </w:p>
        </w:tc>
        <w:tc>
          <w:tcPr>
            <w:shd w:fill="auto" w:val="clear"/>
            <w:vAlign w:val="center"/>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True</w:t>
            </w:r>
          </w:p>
        </w:tc>
        <w:tc>
          <w:tcPr>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11,38</w:t>
            </w:r>
          </w:p>
        </w:tc>
        <w:tc>
          <w:tcPr>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3,61</w:t>
            </w:r>
          </w:p>
        </w:tc>
      </w:tr>
      <w:tr>
        <w:trPr>
          <w:trHeight w:val="300" w:hRule="atLeast"/>
        </w:trPr>
        <w:tc>
          <w:tcPr>
            <w:vMerge w:val="continue"/>
            <w:shd w:fill="ffeb9c" w:val="clear"/>
            <w:vAlign w:val="center"/>
          </w:tcPr>
          <w:p w:rsidR="00000000" w:rsidDel="00000000" w:rsidP="00000000" w:rsidRDefault="00000000" w:rsidRPr="00000000">
            <w:pPr>
              <w:spacing w:after="0" w:line="240" w:lineRule="auto"/>
              <w:contextualSpacing w:val="0"/>
              <w:rPr>
                <w:rFonts w:ascii="Calibri" w:cs="Calibri" w:eastAsia="Calibri" w:hAnsi="Calibri"/>
                <w:b w:val="1"/>
                <w:color w:val="000000"/>
              </w:rPr>
            </w:pPr>
            <w:r w:rsidDel="00000000" w:rsidR="00000000" w:rsidRPr="00000000">
              <w:rPr>
                <w:rtl w:val="0"/>
              </w:rPr>
            </w:r>
          </w:p>
        </w:tc>
        <w:tc>
          <w:tcPr>
            <w:shd w:fill="auto" w:val="clear"/>
            <w:vAlign w:val="center"/>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False</w:t>
            </w:r>
          </w:p>
        </w:tc>
        <w:tc>
          <w:tcPr>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33,01</w:t>
            </w:r>
          </w:p>
        </w:tc>
        <w:tc>
          <w:tcPr>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52,01</w:t>
            </w:r>
          </w:p>
        </w:tc>
      </w:tr>
    </w:tbl>
    <w:p w:rsidR="00000000" w:rsidDel="00000000" w:rsidP="00000000" w:rsidRDefault="00000000" w:rsidRPr="00000000">
      <w:pPr>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Tabla 2d.</w:t>
      </w:r>
      <w:r w:rsidDel="00000000" w:rsidR="00000000" w:rsidRPr="00000000">
        <w:rPr>
          <w:rFonts w:ascii="Arial" w:cs="Arial" w:eastAsia="Arial" w:hAnsi="Arial"/>
          <w:sz w:val="24"/>
          <w:szCs w:val="24"/>
          <w:rtl w:val="0"/>
        </w:rPr>
        <w:t xml:space="preserve">Frecuencia absoluta y relativa de los usuarios que han migrado restringido a los usuarios que constan como “true” en la variable “has_phd” </w:t>
      </w:r>
    </w:p>
    <w:tbl>
      <w:tblPr>
        <w:tblStyle w:val="Table5"/>
        <w:tblW w:w="8484.0" w:type="dxa"/>
        <w:jc w:val="left"/>
        <w:tblInd w:w="0.0" w:type="dxa"/>
        <w:tblLayout w:type="fixed"/>
        <w:tblLook w:val="0400"/>
      </w:tblPr>
      <w:tblGrid>
        <w:gridCol w:w="2998"/>
        <w:gridCol w:w="716"/>
        <w:gridCol w:w="3723"/>
        <w:gridCol w:w="1047"/>
        <w:tblGridChange w:id="0">
          <w:tblGrid>
            <w:gridCol w:w="2998"/>
            <w:gridCol w:w="716"/>
            <w:gridCol w:w="3723"/>
            <w:gridCol w:w="1047"/>
          </w:tblGrid>
        </w:tblGridChange>
      </w:tblGrid>
      <w:tr>
        <w:trPr>
          <w:trHeight w:val="300" w:hRule="atLeast"/>
        </w:trPr>
        <w:tc>
          <w:tcPr>
            <w:gridSpan w:val="2"/>
            <w:vMerge w:val="restart"/>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2"/>
            <w:tcBorders>
              <w:top w:color="000000" w:space="0" w:sz="8" w:val="single"/>
              <w:left w:color="000000" w:space="0" w:sz="0" w:val="nil"/>
              <w:bottom w:color="000000" w:space="0" w:sz="8" w:val="single"/>
              <w:right w:color="000000" w:space="0" w:sz="0" w:val="nil"/>
            </w:tcBorders>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has_phd (True)</w:t>
            </w:r>
          </w:p>
        </w:tc>
      </w:tr>
      <w:tr>
        <w:trPr>
          <w:trHeight w:val="300" w:hRule="atLeast"/>
        </w:trPr>
        <w:tc>
          <w:tcPr>
            <w:gridSpan w:val="2"/>
            <w:vMerge w:val="continue"/>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True ( Freq)</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True (%)</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ffeb9c"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has_migrated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True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84.389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25,63</w:t>
            </w:r>
          </w:p>
        </w:tc>
      </w:tr>
      <w:tr>
        <w:trPr>
          <w:trHeight w:val="300" w:hRule="atLeast"/>
        </w:trPr>
        <w:tc>
          <w:tcPr>
            <w:vMerge w:val="continue"/>
            <w:tcBorders>
              <w:top w:color="000000" w:space="0" w:sz="0" w:val="nil"/>
              <w:left w:color="000000" w:space="0" w:sz="8" w:val="single"/>
              <w:bottom w:color="000000" w:space="0" w:sz="8" w:val="single"/>
              <w:right w:color="000000" w:space="0" w:sz="8" w:val="single"/>
            </w:tcBorders>
            <w:shd w:fill="ffeb9c" w:val="clear"/>
            <w:vAlign w:val="center"/>
          </w:tcPr>
          <w:p w:rsidR="00000000" w:rsidDel="00000000" w:rsidP="00000000" w:rsidRDefault="00000000" w:rsidRPr="00000000">
            <w:pPr>
              <w:spacing w:after="0" w:line="240" w:lineRule="auto"/>
              <w:contextualSpacing w:val="0"/>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False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244.902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74,37</w:t>
            </w:r>
          </w:p>
        </w:tc>
      </w:tr>
      <w:tr>
        <w:trPr>
          <w:trHeight w:val="300" w:hRule="atLeast"/>
        </w:trPr>
        <w:tc>
          <w:tcPr>
            <w:vMerge w:val="continue"/>
            <w:tcBorders>
              <w:top w:color="000000" w:space="0" w:sz="0" w:val="nil"/>
              <w:left w:color="000000" w:space="0" w:sz="8" w:val="single"/>
              <w:bottom w:color="000000" w:space="0" w:sz="8" w:val="single"/>
              <w:right w:color="000000" w:space="0" w:sz="8" w:val="single"/>
            </w:tcBorders>
            <w:shd w:fill="ffeb9c" w:val="clear"/>
            <w:vAlign w:val="center"/>
          </w:tcPr>
          <w:p w:rsidR="00000000" w:rsidDel="00000000" w:rsidP="00000000" w:rsidRDefault="00000000" w:rsidRPr="00000000">
            <w:pPr>
              <w:spacing w:after="0" w:line="240" w:lineRule="auto"/>
              <w:contextualSpacing w:val="0"/>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d9d9" w:val="clear"/>
            <w:vAlign w:val="center"/>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Total</w:t>
            </w:r>
          </w:p>
        </w:tc>
        <w:tc>
          <w:tcPr>
            <w:tcBorders>
              <w:top w:color="000000" w:space="0" w:sz="0" w:val="nil"/>
              <w:left w:color="000000" w:space="0" w:sz="0" w:val="nil"/>
              <w:bottom w:color="000000" w:space="0" w:sz="8" w:val="single"/>
              <w:right w:color="000000" w:space="0" w:sz="8" w:val="single"/>
            </w:tcBorders>
            <w:shd w:fill="d9d9d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329.291</w:t>
            </w:r>
          </w:p>
        </w:tc>
        <w:tc>
          <w:tcPr>
            <w:tcBorders>
              <w:top w:color="000000" w:space="0" w:sz="0" w:val="nil"/>
              <w:left w:color="000000" w:space="0" w:sz="0" w:val="nil"/>
              <w:bottom w:color="000000" w:space="0" w:sz="8" w:val="single"/>
              <w:right w:color="000000" w:space="0" w:sz="8" w:val="single"/>
            </w:tcBorders>
            <w:shd w:fill="d9d9d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412.576</w:t>
            </w:r>
          </w:p>
        </w:tc>
      </w:tr>
    </w:tbl>
    <w:p w:rsidR="00000000" w:rsidDel="00000000" w:rsidP="00000000" w:rsidRDefault="00000000" w:rsidRPr="00000000">
      <w:pPr>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de las </w:t>
      </w:r>
      <w:r w:rsidDel="00000000" w:rsidR="00000000" w:rsidRPr="00000000">
        <w:rPr>
          <w:rFonts w:ascii="Arial" w:cs="Arial" w:eastAsia="Arial" w:hAnsi="Arial"/>
          <w:b w:val="1"/>
          <w:sz w:val="24"/>
          <w:szCs w:val="24"/>
          <w:rtl w:val="0"/>
        </w:rPr>
        <w:t xml:space="preserve">Tabla 2c</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Tabla 2d de phd tiene una mayor probabilidad de contestar afirmativamente “true” en la variable</w:t>
      </w:r>
      <w:r w:rsidDel="00000000" w:rsidR="00000000" w:rsidRPr="00000000">
        <w:rPr>
          <w:rtl w:val="0"/>
        </w:rPr>
      </w:r>
    </w:p>
    <w:p w:rsidR="00000000" w:rsidDel="00000000" w:rsidP="00000000" w:rsidRDefault="00000000" w:rsidRPr="00000000">
      <w:pPr>
        <w:spacing w:after="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Tabla 2e.</w:t>
      </w:r>
      <w:r w:rsidDel="00000000" w:rsidR="00000000" w:rsidRPr="00000000">
        <w:rPr>
          <w:rFonts w:ascii="Arial" w:cs="Arial" w:eastAsia="Arial" w:hAnsi="Arial"/>
          <w:sz w:val="24"/>
          <w:szCs w:val="24"/>
          <w:rtl w:val="0"/>
        </w:rPr>
        <w:t xml:space="preserve">Frecuencia absoluta y relativa de los usuarios que tienen doctorado restringido a los usuarios que constan como “true” en la variable “has_migrated”</w:t>
      </w:r>
    </w:p>
    <w:tbl>
      <w:tblPr>
        <w:tblStyle w:val="Table6"/>
        <w:tblW w:w="8505.0" w:type="dxa"/>
        <w:jc w:val="left"/>
        <w:tblInd w:w="-10.0" w:type="dxa"/>
        <w:tblLayout w:type="fixed"/>
        <w:tblLook w:val="0400"/>
      </w:tblPr>
      <w:tblGrid>
        <w:gridCol w:w="2480"/>
        <w:gridCol w:w="593"/>
        <w:gridCol w:w="3080"/>
        <w:gridCol w:w="2352"/>
        <w:tblGridChange w:id="0">
          <w:tblGrid>
            <w:gridCol w:w="2480"/>
            <w:gridCol w:w="593"/>
            <w:gridCol w:w="3080"/>
            <w:gridCol w:w="2352"/>
          </w:tblGrid>
        </w:tblGridChange>
      </w:tblGrid>
      <w:tr>
        <w:trPr>
          <w:trHeight w:val="300" w:hRule="atLeast"/>
        </w:trPr>
        <w:tc>
          <w:tcPr>
            <w:gridSpan w:val="2"/>
            <w:vMerge w:val="restart"/>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2"/>
            <w:tcBorders>
              <w:top w:color="000000" w:space="0" w:sz="8" w:val="single"/>
              <w:left w:color="000000" w:space="0" w:sz="0" w:val="nil"/>
              <w:bottom w:color="000000" w:space="0" w:sz="8" w:val="single"/>
              <w:right w:color="000000" w:space="0" w:sz="0" w:val="nil"/>
            </w:tcBorders>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has_migrated (True)</w:t>
            </w:r>
          </w:p>
        </w:tc>
      </w:tr>
      <w:tr>
        <w:trPr>
          <w:trHeight w:val="300" w:hRule="atLeast"/>
        </w:trPr>
        <w:tc>
          <w:tcPr>
            <w:gridSpan w:val="2"/>
            <w:vMerge w:val="continue"/>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Frecuencia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r>
      <w:tr>
        <w:trPr>
          <w:trHeight w:val="300" w:hRule="atLeast"/>
        </w:trPr>
        <w:tc>
          <w:tcPr>
            <w:vMerge w:val="restart"/>
            <w:tcBorders>
              <w:top w:color="000000" w:space="0" w:sz="0" w:val="nil"/>
              <w:left w:color="000000" w:space="0" w:sz="8" w:val="single"/>
              <w:bottom w:color="000000" w:space="0" w:sz="8" w:val="single"/>
              <w:right w:color="000000" w:space="0" w:sz="8" w:val="single"/>
            </w:tcBorders>
            <w:shd w:fill="ffeb9c"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has_phd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True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84.389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75,92</w:t>
            </w:r>
          </w:p>
        </w:tc>
      </w:tr>
      <w:tr>
        <w:trPr>
          <w:trHeight w:val="300" w:hRule="atLeast"/>
        </w:trPr>
        <w:tc>
          <w:tcPr>
            <w:vMerge w:val="continue"/>
            <w:tcBorders>
              <w:top w:color="000000" w:space="0" w:sz="0" w:val="nil"/>
              <w:left w:color="000000" w:space="0" w:sz="8" w:val="single"/>
              <w:bottom w:color="000000" w:space="0" w:sz="8" w:val="single"/>
              <w:right w:color="000000" w:space="0" w:sz="8" w:val="single"/>
            </w:tcBorders>
            <w:shd w:fill="ffeb9c" w:val="clear"/>
            <w:vAlign w:val="center"/>
          </w:tcPr>
          <w:p w:rsidR="00000000" w:rsidDel="00000000" w:rsidP="00000000" w:rsidRDefault="00000000" w:rsidRPr="00000000">
            <w:pPr>
              <w:spacing w:after="0" w:line="240" w:lineRule="auto"/>
              <w:contextualSpacing w:val="0"/>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False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26.760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24,08</w:t>
            </w:r>
          </w:p>
        </w:tc>
      </w:tr>
      <w:tr>
        <w:trPr>
          <w:trHeight w:val="300" w:hRule="atLeast"/>
        </w:trPr>
        <w:tc>
          <w:tcPr>
            <w:vMerge w:val="continue"/>
            <w:tcBorders>
              <w:top w:color="000000" w:space="0" w:sz="0" w:val="nil"/>
              <w:left w:color="000000" w:space="0" w:sz="8" w:val="single"/>
              <w:bottom w:color="000000" w:space="0" w:sz="8" w:val="single"/>
              <w:right w:color="000000" w:space="0" w:sz="8" w:val="single"/>
            </w:tcBorders>
            <w:shd w:fill="ffeb9c" w:val="clear"/>
            <w:vAlign w:val="center"/>
          </w:tcPr>
          <w:p w:rsidR="00000000" w:rsidDel="00000000" w:rsidP="00000000" w:rsidRDefault="00000000" w:rsidRPr="00000000">
            <w:pPr>
              <w:spacing w:after="0" w:line="240" w:lineRule="auto"/>
              <w:contextualSpacing w:val="0"/>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d9d9" w:val="clear"/>
            <w:vAlign w:val="center"/>
          </w:tcPr>
          <w:p w:rsidR="00000000" w:rsidDel="00000000" w:rsidP="00000000" w:rsidRDefault="00000000" w:rsidRPr="0000000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Total</w:t>
            </w:r>
          </w:p>
        </w:tc>
        <w:tc>
          <w:tcPr>
            <w:tcBorders>
              <w:top w:color="000000" w:space="0" w:sz="0" w:val="nil"/>
              <w:left w:color="000000" w:space="0" w:sz="0" w:val="nil"/>
              <w:bottom w:color="000000" w:space="0" w:sz="8" w:val="single"/>
              <w:right w:color="000000" w:space="0" w:sz="8" w:val="single"/>
            </w:tcBorders>
            <w:shd w:fill="d9d9d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111.149</w:t>
            </w:r>
          </w:p>
        </w:tc>
        <w:tc>
          <w:tcPr>
            <w:tcBorders>
              <w:top w:color="000000" w:space="0" w:sz="0" w:val="nil"/>
              <w:left w:color="000000" w:space="0" w:sz="0" w:val="nil"/>
              <w:bottom w:color="000000" w:space="0" w:sz="8" w:val="single"/>
              <w:right w:color="000000" w:space="0" w:sz="8" w:val="single"/>
            </w:tcBorders>
            <w:shd w:fill="d9d9d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r>
    </w:tbl>
    <w:p w:rsidR="00000000" w:rsidDel="00000000" w:rsidP="00000000" w:rsidRDefault="00000000" w:rsidRPr="00000000">
      <w:pPr>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Respecto a los usuarios  (329.291 ) que responde positivamente en la variable has_phd, el 74,37 % no ha migrado durante su carrera científica. Sin embargo cuando la pregunta se hace a la inversa (has_migrated), restringiendo así los datos a los 111.149 usuarios que responde positivamente, el 75,92 % afirma que si tiene el doctorado. </w:t>
      </w:r>
      <w:r w:rsidDel="00000000" w:rsidR="00000000" w:rsidRPr="00000000">
        <w:rPr>
          <w:rFonts w:ascii="Arial" w:cs="Arial" w:eastAsia="Arial" w:hAnsi="Arial"/>
          <w:b w:val="1"/>
          <w:sz w:val="24"/>
          <w:szCs w:val="24"/>
          <w:rtl w:val="0"/>
        </w:rPr>
        <w:t xml:space="preserve">En conclusión, el hecho de migrar no es mayoritario entre los doctorados, pero entre los usuarios que han migrado si son mayoría las personas que poseen un doctorado.</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 forma análoga, la variable “country_2016”, muestras el predominio de estos mismos países pero con un orden claramente diferenciado. Aunque Estados Unidos sigue estado en la cabeza, Brasil se encuentra en segundo lugar, Gran Bretaña en tercero (cuando en el caso anterior estaba en quinto), la India en el cuarto puesto (para la variable “earliest_country” en el puesto nº2), China en la quinta posición, España en el sexto puesto (el mismo que en el ranking de la variable anteriormente comentada), el mismo caso que en Italia (séptima posición). </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Tabla 3</w:t>
      </w:r>
      <w:r w:rsidDel="00000000" w:rsidR="00000000" w:rsidRPr="00000000">
        <w:rPr>
          <w:rFonts w:ascii="Arial" w:cs="Arial" w:eastAsia="Arial" w:hAnsi="Arial"/>
          <w:sz w:val="24"/>
          <w:szCs w:val="24"/>
          <w:rtl w:val="0"/>
        </w:rPr>
        <w:t xml:space="preserve">.Frecuencia absoluta y relativa de la variables “earliest_country”</w:t>
      </w:r>
    </w:p>
    <w:tbl>
      <w:tblPr>
        <w:tblStyle w:val="Table7"/>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1"/>
        <w:gridCol w:w="2591"/>
        <w:gridCol w:w="1988"/>
        <w:gridCol w:w="1794"/>
        <w:tblGridChange w:id="0">
          <w:tblGrid>
            <w:gridCol w:w="2121"/>
            <w:gridCol w:w="2591"/>
            <w:gridCol w:w="1988"/>
            <w:gridCol w:w="1794"/>
          </w:tblGrid>
        </w:tblGridChange>
      </w:tblGrid>
      <w:tr>
        <w:trPr>
          <w:trHeight w:val="360" w:hRule="atLeast"/>
        </w:trPr>
        <w:tc>
          <w:tcPr>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earliest_country (ranking_ordenador)</w:t>
            </w:r>
          </w:p>
        </w:tc>
        <w:tc>
          <w:tcPr>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earliest_country</w:t>
            </w:r>
          </w:p>
        </w:tc>
        <w:tc>
          <w:tcPr>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earliest_country (freq)</w:t>
            </w:r>
          </w:p>
        </w:tc>
        <w:tc>
          <w:tcPr>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earliest_country (%)</w:t>
            </w:r>
          </w:p>
        </w:tc>
      </w:tr>
      <w:tr>
        <w:trPr>
          <w:trHeight w:val="280" w:hRule="atLeast"/>
        </w:trPr>
        <w:tc>
          <w:tcPr>
            <w:shd w:fill="63be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US</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96.706</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16,05</w:t>
            </w:r>
          </w:p>
        </w:tc>
      </w:tr>
      <w:tr>
        <w:trPr>
          <w:trHeight w:val="280" w:hRule="atLeast"/>
        </w:trPr>
        <w:tc>
          <w:tcPr>
            <w:shd w:fill="64be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IN</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40.124</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6,66</w:t>
            </w:r>
          </w:p>
        </w:tc>
      </w:tr>
      <w:tr>
        <w:trPr>
          <w:trHeight w:val="280" w:hRule="atLeast"/>
        </w:trPr>
        <w:tc>
          <w:tcPr>
            <w:shd w:fill="65be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BR</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39.902</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6,62</w:t>
            </w:r>
          </w:p>
        </w:tc>
      </w:tr>
      <w:tr>
        <w:trPr>
          <w:trHeight w:val="280" w:hRule="atLeast"/>
        </w:trPr>
        <w:tc>
          <w:tcPr>
            <w:shd w:fill="67bf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CN</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38.042</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6,31</w:t>
            </w:r>
          </w:p>
        </w:tc>
      </w:tr>
      <w:tr>
        <w:trPr>
          <w:trHeight w:val="280" w:hRule="atLeast"/>
        </w:trPr>
        <w:tc>
          <w:tcPr>
            <w:shd w:fill="68bf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GB</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37.977</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6,30</w:t>
            </w:r>
          </w:p>
        </w:tc>
      </w:tr>
      <w:tr>
        <w:trPr>
          <w:trHeight w:val="280" w:hRule="atLeast"/>
        </w:trPr>
        <w:tc>
          <w:tcPr>
            <w:shd w:fill="6ac0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ES</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30.502</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5,06</w:t>
            </w:r>
          </w:p>
        </w:tc>
      </w:tr>
      <w:tr>
        <w:trPr>
          <w:trHeight w:val="280" w:hRule="atLeast"/>
        </w:trPr>
        <w:tc>
          <w:tcPr>
            <w:shd w:fill="6bc0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IT</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25.146</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4,17</w:t>
            </w:r>
          </w:p>
        </w:tc>
      </w:tr>
      <w:tr>
        <w:trPr>
          <w:trHeight w:val="280" w:hRule="atLeast"/>
        </w:trPr>
        <w:tc>
          <w:tcPr>
            <w:shd w:fill="6cc0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RU</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19.120</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3,17</w:t>
            </w:r>
          </w:p>
        </w:tc>
      </w:tr>
      <w:tr>
        <w:trPr>
          <w:trHeight w:val="280" w:hRule="atLeast"/>
        </w:trPr>
        <w:tc>
          <w:tcPr>
            <w:shd w:fill="6ec1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PT</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17.538</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2,91</w:t>
            </w:r>
          </w:p>
        </w:tc>
      </w:tr>
      <w:tr>
        <w:trPr>
          <w:trHeight w:val="280" w:hRule="atLeast"/>
        </w:trPr>
        <w:tc>
          <w:tcPr>
            <w:shd w:fill="6fc1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AU</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15.499</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2,57</w:t>
            </w:r>
          </w:p>
        </w:tc>
      </w:tr>
    </w:tbl>
    <w:p w:rsidR="00000000" w:rsidDel="00000000" w:rsidP="00000000" w:rsidRDefault="00000000" w:rsidRPr="00000000">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Australia pasa de la décima posición a la octava, el caso contrario de Rusia que pasa de la octava a la novena posición, mientras que Portugal se sitúa en el puesto decimo cuando aparece en el noveno en el ranking de “earliest_country”</w:t>
      </w:r>
    </w:p>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Tabla 4</w:t>
      </w:r>
      <w:r w:rsidDel="00000000" w:rsidR="00000000" w:rsidRPr="00000000">
        <w:rPr>
          <w:rFonts w:ascii="Arial" w:cs="Arial" w:eastAsia="Arial" w:hAnsi="Arial"/>
          <w:sz w:val="24"/>
          <w:szCs w:val="24"/>
          <w:rtl w:val="0"/>
        </w:rPr>
        <w:t xml:space="preserve">.Frecuencia absoluta y relativa de la variables “cuntry_2016”</w:t>
      </w:r>
    </w:p>
    <w:tbl>
      <w:tblPr>
        <w:tblStyle w:val="Table8"/>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13"/>
        <w:gridCol w:w="1989"/>
        <w:gridCol w:w="1770"/>
        <w:tblGridChange w:id="0">
          <w:tblGrid>
            <w:gridCol w:w="2122"/>
            <w:gridCol w:w="2613"/>
            <w:gridCol w:w="1989"/>
            <w:gridCol w:w="1770"/>
          </w:tblGrid>
        </w:tblGridChange>
      </w:tblGrid>
      <w:tr>
        <w:trPr>
          <w:trHeight w:val="360" w:hRule="atLeast"/>
        </w:trPr>
        <w:tc>
          <w:tcPr>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country_2016 (ranking_ordenado)</w:t>
            </w:r>
          </w:p>
        </w:tc>
        <w:tc>
          <w:tcPr>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country_2016</w:t>
            </w:r>
          </w:p>
        </w:tc>
        <w:tc>
          <w:tcPr>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country_2016 (freq)</w:t>
            </w:r>
          </w:p>
        </w:tc>
        <w:tc>
          <w:tcPr>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country_2016 (%)</w:t>
            </w:r>
          </w:p>
        </w:tc>
      </w:tr>
      <w:tr>
        <w:trPr>
          <w:trHeight w:val="280" w:hRule="atLeast"/>
        </w:trPr>
        <w:tc>
          <w:tcPr>
            <w:shd w:fill="66be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US</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88930</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17,80</w:t>
            </w:r>
          </w:p>
        </w:tc>
      </w:tr>
      <w:tr>
        <w:trPr>
          <w:trHeight w:val="280" w:hRule="atLeast"/>
        </w:trPr>
        <w:tc>
          <w:tcPr>
            <w:shd w:fill="69bf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BR</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32731</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6,55</w:t>
            </w:r>
          </w:p>
        </w:tc>
      </w:tr>
      <w:tr>
        <w:trPr>
          <w:trHeight w:val="280" w:hRule="atLeast"/>
        </w:trPr>
        <w:tc>
          <w:tcPr>
            <w:shd w:fill="6cc0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GB</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32425</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6,49</w:t>
            </w:r>
          </w:p>
        </w:tc>
      </w:tr>
      <w:tr>
        <w:trPr>
          <w:trHeight w:val="280" w:hRule="atLeast"/>
        </w:trPr>
        <w:tc>
          <w:tcPr>
            <w:shd w:fill="70c1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IN</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27256</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5,46</w:t>
            </w:r>
          </w:p>
        </w:tc>
      </w:tr>
      <w:tr>
        <w:trPr>
          <w:trHeight w:val="280" w:hRule="atLeast"/>
        </w:trPr>
        <w:tc>
          <w:tcPr>
            <w:shd w:fill="73c2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CN</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25585</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5,12</w:t>
            </w:r>
          </w:p>
        </w:tc>
      </w:tr>
      <w:tr>
        <w:trPr>
          <w:trHeight w:val="280" w:hRule="atLeast"/>
        </w:trPr>
        <w:tc>
          <w:tcPr>
            <w:shd w:fill="76c3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ES</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25160</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5,04</w:t>
            </w:r>
          </w:p>
        </w:tc>
      </w:tr>
      <w:tr>
        <w:trPr>
          <w:trHeight w:val="280" w:hRule="atLeast"/>
        </w:trPr>
        <w:tc>
          <w:tcPr>
            <w:shd w:fill="7ac4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IT</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19647</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3,93</w:t>
            </w:r>
          </w:p>
        </w:tc>
      </w:tr>
      <w:tr>
        <w:trPr>
          <w:trHeight w:val="280" w:hRule="atLeast"/>
        </w:trPr>
        <w:tc>
          <w:tcPr>
            <w:shd w:fill="7dc5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AU</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16550</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3,31</w:t>
            </w:r>
          </w:p>
        </w:tc>
      </w:tr>
      <w:tr>
        <w:trPr>
          <w:trHeight w:val="280" w:hRule="atLeast"/>
        </w:trPr>
        <w:tc>
          <w:tcPr>
            <w:shd w:fill="80c6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RU</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14424</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2,89</w:t>
            </w:r>
          </w:p>
        </w:tc>
      </w:tr>
      <w:tr>
        <w:trPr>
          <w:trHeight w:val="280" w:hRule="atLeast"/>
        </w:trPr>
        <w:tc>
          <w:tcPr>
            <w:shd w:fill="84c7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PT</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14111</w:t>
            </w:r>
          </w:p>
        </w:tc>
        <w:tc>
          <w:tcPr>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2,82</w:t>
            </w:r>
          </w:p>
        </w:tc>
      </w:tr>
    </w:tbl>
    <w:p w:rsidR="00000000" w:rsidDel="00000000" w:rsidP="00000000" w:rsidRDefault="00000000" w:rsidRPr="00000000">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 los 329.291 usuarios de ORCID (un 44,39 % del total sin descartar aquellos que no contestan) que tienen un doctorado, un 22,53 % obtuvo su título en Estados Unidos, un 9,92 % en Reino Unido, un 6,69 en España, un 5,53 en la India, un 5,54 % en China, un 4,31 % en Australia, un 3,67 % en Italia, un 3,13 % en Brasil, un 2,78 % en Portugal y un 2,70 % en Francia. Así, estos países concentran más del 66 % de los individuos de estas características</w:t>
      </w:r>
    </w:p>
    <w:p w:rsidR="00000000" w:rsidDel="00000000" w:rsidP="00000000" w:rsidRDefault="00000000" w:rsidRPr="00000000">
      <w:pPr>
        <w:spacing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Tal y como se puede comprobar en la Tabla 5 se puede comprobar que España se sitúa en una posición importante, que en todo caso indica que tras Estados Unidos y Gran Bretaña, los usuarios de ORCID que realizaron su doctorado en el Estado constituyen una masa crítica importante.</w:t>
      </w:r>
    </w:p>
    <w:p w:rsidR="00000000" w:rsidDel="00000000" w:rsidP="00000000" w:rsidRDefault="00000000" w:rsidRPr="00000000">
      <w:pP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Tabla 5.Frecuencia absoluta y relativa de la variables “phd_country” (cálculos restringidos a los 329.291 de los 741.867 usuarios que tiene doctorado)</w:t>
      </w:r>
    </w:p>
    <w:tbl>
      <w:tblPr>
        <w:tblStyle w:val="Table9"/>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13"/>
        <w:gridCol w:w="1989"/>
        <w:gridCol w:w="1770"/>
        <w:tblGridChange w:id="0">
          <w:tblGrid>
            <w:gridCol w:w="2122"/>
            <w:gridCol w:w="2613"/>
            <w:gridCol w:w="1989"/>
            <w:gridCol w:w="177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ffd965"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phd_country (ranking_ordenado)</w:t>
            </w:r>
          </w:p>
        </w:tc>
        <w:tc>
          <w:tcPr>
            <w:tcBorders>
              <w:top w:color="000000" w:space="0" w:sz="4" w:val="single"/>
              <w:left w:color="000000" w:space="0" w:sz="4" w:val="single"/>
              <w:bottom w:color="000000" w:space="0" w:sz="4" w:val="single"/>
              <w:right w:color="000000" w:space="0" w:sz="4" w:val="single"/>
            </w:tcBorders>
            <w:shd w:fill="ffd965"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phd_country</w:t>
            </w:r>
          </w:p>
        </w:tc>
        <w:tc>
          <w:tcPr>
            <w:tcBorders>
              <w:top w:color="000000" w:space="0" w:sz="4" w:val="single"/>
              <w:left w:color="000000" w:space="0" w:sz="4" w:val="single"/>
              <w:bottom w:color="000000" w:space="0" w:sz="4" w:val="single"/>
              <w:right w:color="000000" w:space="0" w:sz="4" w:val="single"/>
            </w:tcBorders>
            <w:shd w:fill="ffd965"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phd_country (freq)</w:t>
            </w:r>
          </w:p>
        </w:tc>
        <w:tc>
          <w:tcPr>
            <w:tcBorders>
              <w:top w:color="000000" w:space="0" w:sz="4" w:val="single"/>
              <w:left w:color="000000" w:space="0" w:sz="4" w:val="single"/>
              <w:bottom w:color="000000" w:space="0" w:sz="4" w:val="single"/>
              <w:right w:color="000000" w:space="0" w:sz="4" w:val="single"/>
            </w:tcBorders>
            <w:shd w:fill="ffd965"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phd_country (%)</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84c7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US</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71031</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22,53</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84c7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GB</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31294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9,92</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84c7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ES</w:t>
            </w:r>
          </w:p>
        </w:tc>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21099</w:t>
            </w:r>
          </w:p>
        </w:tc>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6,69</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84c7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IN</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17444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5,53</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84c7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CN</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16221</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5,14</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84c7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AU</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13584</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4,31</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84c7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IT</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11557</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3,67</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84c7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BR</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9862</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3,13</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84c7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PT</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8765</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2,78</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84c7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FR</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8515</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2,70</w:t>
            </w:r>
          </w:p>
        </w:tc>
      </w:tr>
    </w:tbl>
    <w:p w:rsidR="00000000" w:rsidDel="00000000" w:rsidP="00000000" w:rsidRDefault="00000000" w:rsidRPr="00000000">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el caso de la variable phd_year, los datos revelan como se ha acelerado la tendencia del uso de la base de datos ORCID en los últimos años. De hecho los 329.291 usuarios de ORCID (un 44,39 % del total sin descartar aquellos que no contestan) que tienen un doctorado, </w:t>
      </w:r>
      <w:r w:rsidDel="00000000" w:rsidR="00000000" w:rsidRPr="00000000">
        <w:rPr>
          <w:rFonts w:ascii="Arial" w:cs="Arial" w:eastAsia="Arial" w:hAnsi="Arial"/>
          <w:b w:val="1"/>
          <w:sz w:val="24"/>
          <w:szCs w:val="24"/>
          <w:rtl w:val="0"/>
        </w:rPr>
        <w:t xml:space="preserve">un 27,31 % obtuvo su título phd en el año 2016, siendo casi 21 puntos superior al del segundo grupo más numeroso (2014 con un 6,05 %) </w:t>
      </w:r>
      <w:r w:rsidDel="00000000" w:rsidR="00000000" w:rsidRPr="00000000">
        <w:rPr>
          <w:rFonts w:ascii="Arial" w:cs="Arial" w:eastAsia="Arial" w:hAnsi="Arial"/>
          <w:sz w:val="24"/>
          <w:szCs w:val="24"/>
          <w:rtl w:val="0"/>
        </w:rPr>
        <w:t xml:space="preserve">. Por otro lado, como se puede comprobar en la </w:t>
      </w:r>
      <w:r w:rsidDel="00000000" w:rsidR="00000000" w:rsidRPr="00000000">
        <w:rPr>
          <w:rFonts w:ascii="Arial" w:cs="Arial" w:eastAsia="Arial" w:hAnsi="Arial"/>
          <w:b w:val="1"/>
          <w:sz w:val="24"/>
          <w:szCs w:val="24"/>
          <w:rtl w:val="0"/>
        </w:rPr>
        <w:t xml:space="preserve">Tabla 6,</w:t>
      </w:r>
      <w:r w:rsidDel="00000000" w:rsidR="00000000" w:rsidRPr="00000000">
        <w:rPr>
          <w:rFonts w:ascii="Arial" w:cs="Arial" w:eastAsia="Arial" w:hAnsi="Arial"/>
          <w:sz w:val="24"/>
          <w:szCs w:val="24"/>
          <w:rtl w:val="0"/>
        </w:rPr>
        <w:t xml:space="preserve">  un 66,85 % de éstos obtuvo esta titulación entre 2007 y 2016.</w:t>
      </w:r>
    </w:p>
    <w:p w:rsidR="00000000" w:rsidDel="00000000" w:rsidP="00000000" w:rsidRDefault="00000000" w:rsidRPr="00000000">
      <w:pP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Tabla 6.Frecuencia absoluta y relativa de la variables “phd_year”. (Cálculos restringidos a los 329.291 de los 741.867 usuarios que tiene doctorado)</w:t>
      </w:r>
    </w:p>
    <w:tbl>
      <w:tblPr>
        <w:tblStyle w:val="Table10"/>
        <w:tblW w:w="8460.0" w:type="dxa"/>
        <w:jc w:val="left"/>
        <w:tblInd w:w="0.0" w:type="dxa"/>
        <w:tblLayout w:type="fixed"/>
        <w:tblLook w:val="0400"/>
      </w:tblPr>
      <w:tblGrid>
        <w:gridCol w:w="3520"/>
        <w:gridCol w:w="1180"/>
        <w:gridCol w:w="1880"/>
        <w:gridCol w:w="1880"/>
        <w:tblGridChange w:id="0">
          <w:tblGrid>
            <w:gridCol w:w="3520"/>
            <w:gridCol w:w="1180"/>
            <w:gridCol w:w="1880"/>
            <w:gridCol w:w="188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phd_year (ranking_ordenado)</w:t>
            </w:r>
          </w:p>
        </w:tc>
        <w:tc>
          <w:tcPr>
            <w:tcBorders>
              <w:top w:color="000000" w:space="0" w:sz="4" w:val="single"/>
              <w:left w:color="000000" w:space="0" w:sz="0" w:val="nil"/>
              <w:bottom w:color="000000" w:space="0" w:sz="4" w:val="single"/>
              <w:right w:color="000000" w:space="0" w:sz="4" w:val="single"/>
            </w:tcBorders>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phd_year</w:t>
            </w:r>
          </w:p>
        </w:tc>
        <w:tc>
          <w:tcPr>
            <w:tcBorders>
              <w:top w:color="000000" w:space="0" w:sz="4" w:val="single"/>
              <w:left w:color="000000" w:space="0" w:sz="0" w:val="nil"/>
              <w:bottom w:color="000000" w:space="0" w:sz="4" w:val="single"/>
              <w:right w:color="000000" w:space="0" w:sz="4" w:val="single"/>
            </w:tcBorders>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phd_year (freq)</w:t>
            </w:r>
          </w:p>
        </w:tc>
        <w:tc>
          <w:tcPr>
            <w:tcBorders>
              <w:top w:color="000000" w:space="0" w:sz="4" w:val="single"/>
              <w:left w:color="000000" w:space="0" w:sz="0" w:val="nil"/>
              <w:bottom w:color="000000" w:space="0" w:sz="4" w:val="single"/>
              <w:right w:color="000000" w:space="0" w:sz="4" w:val="single"/>
            </w:tcBorders>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phd_year (%)</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63be7b"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1</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2016.0</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78472</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27,31</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67bf7b"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2014.0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17385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6,05</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6bc07b"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2015.0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16911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5,89</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70c17b"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15499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5,39</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74c37c"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13804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4,80</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79c47c"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2011.0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11873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4,13</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7dc57c"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11151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3,88</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82c77c"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2009.0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9898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3,45</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86c87d"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2008.0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9008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3,14</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8bc97d"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2007.0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8067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2,81</w:t>
            </w:r>
          </w:p>
        </w:tc>
      </w:tr>
    </w:tbl>
    <w:p w:rsidR="00000000" w:rsidDel="00000000" w:rsidP="00000000" w:rsidRDefault="00000000" w:rsidRPr="00000000">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Estos datos tienen que ser tenidos en cuenta en el siguiente contexto. La inscripción en ORCID empieza a ser un requisito exigido por las editoriales de las más influyentes publicaciones como Springer. Un claro ejemplo es el de la Universidad de Valencia (UVA) que a través de su Vicerrectorado de investigación y Política Ciéntifica emprende una campaña de concienciación a todo el PDI ( Personal de Investigación) de las ventajas de la normalización de autoría y de la creación de perfiles de investigación tanto en ORCID y Researcher ID</w:t>
      </w:r>
      <w:r w:rsidDel="00000000" w:rsidR="00000000" w:rsidRPr="00000000">
        <w:rPr>
          <w:rFonts w:ascii="Arial" w:cs="Arial" w:eastAsia="Arial" w:hAnsi="Arial"/>
          <w:b w:val="1"/>
          <w:sz w:val="24"/>
          <w:szCs w:val="24"/>
          <w:vertAlign w:val="superscript"/>
        </w:rPr>
        <w:footnoteReference w:customMarkFollows="0" w:id="0"/>
      </w:r>
      <w:r w:rsidDel="00000000" w:rsidR="00000000" w:rsidRPr="00000000">
        <w:rPr>
          <w:rFonts w:ascii="Arial" w:cs="Arial" w:eastAsia="Arial" w:hAnsi="Arial"/>
          <w:b w:val="1"/>
          <w:sz w:val="24"/>
          <w:szCs w:val="24"/>
          <w:rtl w:val="0"/>
        </w:rPr>
        <w:t xml:space="preserve">. Este tutorial fue publicado en el año 2016, el mismo periodo que cuenta con mayor frecuencia. En este caso hay que tener en cuenta que ORCID lanzó sus servicios de registro el 16 de octubre de 2012, empezando también a emitir sus identificaciones usuario.</w:t>
      </w:r>
      <w:r w:rsidDel="00000000" w:rsidR="00000000" w:rsidRPr="00000000">
        <w:rPr>
          <w:rFonts w:ascii="Arial" w:cs="Arial" w:eastAsia="Arial" w:hAnsi="Arial"/>
          <w:b w:val="1"/>
          <w:sz w:val="24"/>
          <w:szCs w:val="24"/>
          <w:vertAlign w:val="superscript"/>
        </w:rPr>
        <w:footnoteReference w:customMarkFollows="0" w:id="1"/>
      </w: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En sentido totalmente opuesto, la distribución de los años en los que los 741.967 inició sus estudios está distribuido de forma homogénea. El grupo de usuarios más numeroso es el que empezó su carrera en el año 2010 (4,65 %). En este sentido, en los ocho años con mayor número de frecuencias, los porcentajes relativos se sitúan entre el 4,65 y el 4,16 %.</w:t>
      </w:r>
    </w:p>
    <w:p w:rsidR="00000000" w:rsidDel="00000000" w:rsidP="00000000" w:rsidRDefault="00000000" w:rsidRPr="00000000">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Tabla 7.Frecuencia absoluta y relativa de la variables “earliest_year”</w:t>
      </w:r>
    </w:p>
    <w:tbl>
      <w:tblPr>
        <w:tblStyle w:val="Table1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90"/>
        <w:gridCol w:w="1372"/>
        <w:gridCol w:w="1916"/>
        <w:gridCol w:w="1916"/>
        <w:tblGridChange w:id="0">
          <w:tblGrid>
            <w:gridCol w:w="3290"/>
            <w:gridCol w:w="1372"/>
            <w:gridCol w:w="1916"/>
            <w:gridCol w:w="1916"/>
          </w:tblGrid>
        </w:tblGridChange>
      </w:tblGrid>
      <w:tr>
        <w:trPr>
          <w:trHeight w:val="360" w:hRule="atLeast"/>
        </w:trPr>
        <w:tc>
          <w:tcPr>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earliest_year (ranking_ordenado)</w:t>
            </w:r>
          </w:p>
        </w:tc>
        <w:tc>
          <w:tcPr>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earliest_year </w:t>
            </w:r>
          </w:p>
        </w:tc>
        <w:tc>
          <w:tcPr>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earliest_year (freq)</w:t>
            </w:r>
          </w:p>
        </w:tc>
        <w:tc>
          <w:tcPr>
            <w:shd w:fill="ffe699" w:val="clear"/>
            <w:vAlign w:val="center"/>
          </w:tcPr>
          <w:p w:rsidR="00000000" w:rsidDel="00000000" w:rsidP="00000000" w:rsidRDefault="00000000" w:rsidRPr="00000000">
            <w:pPr>
              <w:spacing w:after="0" w:line="24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earliest_year (%)</w:t>
            </w:r>
          </w:p>
        </w:tc>
      </w:tr>
      <w:tr>
        <w:trPr>
          <w:trHeight w:val="280" w:hRule="atLeast"/>
        </w:trPr>
        <w:tc>
          <w:tcPr>
            <w:shd w:fill="63be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1</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2010.0</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28069</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4,65</w:t>
            </w:r>
          </w:p>
        </w:tc>
      </w:tr>
      <w:tr>
        <w:trPr>
          <w:trHeight w:val="280" w:hRule="atLeast"/>
        </w:trPr>
        <w:tc>
          <w:tcPr>
            <w:shd w:fill="66be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2</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2009.0</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27719</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4,59</w:t>
            </w:r>
          </w:p>
        </w:tc>
      </w:tr>
      <w:tr>
        <w:trPr>
          <w:trHeight w:val="280" w:hRule="atLeast"/>
        </w:trPr>
        <w:tc>
          <w:tcPr>
            <w:shd w:fill="69bf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2008.0</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27608</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4,57</w:t>
            </w:r>
          </w:p>
        </w:tc>
      </w:tr>
      <w:tr>
        <w:trPr>
          <w:trHeight w:val="280" w:hRule="atLeast"/>
        </w:trPr>
        <w:tc>
          <w:tcPr>
            <w:shd w:fill="6cc0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4</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2007.0</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26325</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4,36</w:t>
            </w:r>
          </w:p>
        </w:tc>
      </w:tr>
      <w:tr>
        <w:trPr>
          <w:trHeight w:val="280" w:hRule="atLeast"/>
        </w:trPr>
        <w:tc>
          <w:tcPr>
            <w:shd w:fill="6fc1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5</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2011.0</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25934</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4,30</w:t>
            </w:r>
          </w:p>
        </w:tc>
      </w:tr>
      <w:tr>
        <w:trPr>
          <w:trHeight w:val="280" w:hRule="atLeast"/>
        </w:trPr>
        <w:tc>
          <w:tcPr>
            <w:shd w:fill="73c27b"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6</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2006.0</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25616</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4,24</w:t>
            </w:r>
          </w:p>
        </w:tc>
      </w:tr>
      <w:tr>
        <w:trPr>
          <w:trHeight w:val="280" w:hRule="atLeast"/>
        </w:trPr>
        <w:tc>
          <w:tcPr>
            <w:shd w:fill="76c3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7</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2012.0</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25121</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4,16</w:t>
            </w:r>
          </w:p>
        </w:tc>
      </w:tr>
      <w:tr>
        <w:trPr>
          <w:trHeight w:val="280" w:hRule="atLeast"/>
        </w:trPr>
        <w:tc>
          <w:tcPr>
            <w:shd w:fill="79c4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8</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2005.0</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24236</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4,02</w:t>
            </w:r>
          </w:p>
        </w:tc>
      </w:tr>
      <w:tr>
        <w:trPr>
          <w:trHeight w:val="280" w:hRule="atLeast"/>
        </w:trPr>
        <w:tc>
          <w:tcPr>
            <w:shd w:fill="7cc5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9</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2004.0</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22780</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3,77</w:t>
            </w:r>
          </w:p>
        </w:tc>
      </w:tr>
      <w:tr>
        <w:trPr>
          <w:trHeight w:val="280" w:hRule="atLeast"/>
        </w:trPr>
        <w:tc>
          <w:tcPr>
            <w:shd w:fill="7fc67c"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10</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2013.0</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22197</w:t>
            </w:r>
          </w:p>
        </w:tc>
        <w:tc>
          <w:tcPr>
            <w:shd w:fill="auto" w:val="clear"/>
            <w:vAlign w:val="bottom"/>
          </w:tcPr>
          <w:p w:rsidR="00000000" w:rsidDel="00000000" w:rsidP="00000000" w:rsidRDefault="00000000" w:rsidRPr="00000000">
            <w:pPr>
              <w:spacing w:after="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3,68</w:t>
            </w:r>
          </w:p>
        </w:tc>
      </w:tr>
    </w:tbl>
    <w:p w:rsidR="00000000" w:rsidDel="00000000" w:rsidP="00000000" w:rsidRDefault="00000000" w:rsidRPr="00000000">
      <w:pPr>
        <w:spacing w:line="360" w:lineRule="auto"/>
        <w:contextualSpacing w:val="0"/>
        <w:rPr>
          <w:rFonts w:ascii="Arial" w:cs="Arial" w:eastAsia="Arial" w:hAnsi="Arial"/>
          <w:sz w:val="24"/>
          <w:szCs w:val="24"/>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Normalización de autoría: Orcid y Researched. Tutorial elaborado por Bcl (La Biblioteca con la Investigación) de la BUVa  (Febrero 2016)</w:t>
      </w:r>
    </w:p>
  </w:footnote>
  <w:footnote w:id="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Wikipedia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