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lastRenderedPageBreak/>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56D00AB9" w:rsidR="00967C49" w:rsidRPr="00967C49" w:rsidRDefault="00967C49" w:rsidP="003D4482">
      <w:pPr>
        <w:widowControl w:val="0"/>
        <w:autoSpaceDE w:val="0"/>
        <w:autoSpaceDN w:val="0"/>
        <w:adjustRightInd w:val="0"/>
        <w:rPr>
          <w:rFonts w:ascii="Avenir Book" w:hAnsi="Avenir Book"/>
          <w:bCs/>
        </w:rPr>
      </w:pPr>
      <w:r>
        <w:rPr>
          <w:rFonts w:ascii="Avenir Book" w:hAnsi="Avenir Book"/>
          <w:bCs/>
        </w:rPr>
        <w:t xml:space="preserve">• AAnime (gomme): gomme de l'arbre "courbaril", ou "animé", </w:t>
      </w:r>
      <w:r>
        <w:rPr>
          <w:rFonts w:ascii="Avenir Book" w:hAnsi="Avenir Book"/>
          <w:bCs/>
          <w:i/>
        </w:rPr>
        <w:t>Xycol</w:t>
      </w:r>
      <w:r>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Breck, </w:t>
      </w:r>
      <w:r w:rsidR="003A289E">
        <w:rPr>
          <w:rFonts w:ascii="Avenir Book" w:hAnsi="Avenir Book"/>
        </w:rPr>
        <w:t xml:space="preserve">Etreek, </w:t>
      </w:r>
      <w:r>
        <w:rPr>
          <w:rFonts w:ascii="Avenir Book" w:hAnsi="Avenir Book"/>
        </w:rPr>
        <w:t>Greek, Greck</w:t>
      </w:r>
      <w:r w:rsidR="003A289E">
        <w:rPr>
          <w:rFonts w:ascii="Avenir Book" w:hAnsi="Avenir Book"/>
        </w:rPr>
        <w:t>, O</w:t>
      </w:r>
      <w:bookmarkStart w:id="1" w:name="_GoBack"/>
      <w:bookmarkEnd w:id="1"/>
      <w:r>
        <w:rPr>
          <w:rFonts w:ascii="Avenir Book" w:hAnsi="Avenir Book"/>
        </w:rPr>
        <w:t>treck</w:t>
      </w:r>
      <w:r w:rsidR="003A289E">
        <w:rPr>
          <w:rFonts w:ascii="Avenir Book" w:hAnsi="Avenir Book"/>
          <w:color w:val="000000"/>
        </w:rPr>
        <w:t>, Vtreck, Ytrez</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6F02A1DB" w:rsidR="003D6480" w:rsidRPr="00EF7189" w:rsidRDefault="003D6480" w:rsidP="003D4482">
      <w:pPr>
        <w:rPr>
          <w:rFonts w:ascii="Avenir Book" w:hAnsi="Avenir Book"/>
          <w:color w:val="000000"/>
        </w:rPr>
      </w:pPr>
      <w:r>
        <w:rPr>
          <w:rFonts w:ascii="Avenir Book" w:hAnsi="Avenir Book"/>
          <w:color w:val="000000"/>
        </w:rPr>
        <w:t xml:space="preserve">• Gaudron: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EF7189">
        <w:rPr>
          <w:rFonts w:ascii="Avenir Book" w:hAnsi="Avenir Book"/>
          <w:color w:val="000000"/>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769755F0" w14:textId="33E5ED69" w:rsidR="00FB27FB" w:rsidRPr="006171F3"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51E6EBDA"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 xml:space="preserve">amobasse, </w:t>
      </w:r>
      <w:r w:rsidR="009E42DD">
        <w:rPr>
          <w:rFonts w:ascii="Avenir Book" w:hAnsi="Avenir Book"/>
        </w:rPr>
        <w:t xml:space="preserve">Simacouba, Simanombra, Simaroba, Simaroubas, Sinacouba </w:t>
      </w:r>
      <w:r>
        <w:rPr>
          <w:rFonts w:ascii="Avenir Book" w:hAnsi="Avenir Book"/>
        </w:rPr>
        <w:t>(bois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Tayolle: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"T</w:t>
      </w:r>
      <w:r w:rsidRPr="00D80620">
        <w:rPr>
          <w:rFonts w:ascii="Avenir Book" w:hAnsi="Avenir Book"/>
        </w:rPr>
        <w:t>ayolles".</w:t>
      </w:r>
    </w:p>
    <w:p w14:paraId="7FB6404E" w14:textId="39630203" w:rsidR="00EB06B5" w:rsidRPr="00E637B6" w:rsidRDefault="00EB06B5" w:rsidP="003D4482">
      <w:pPr>
        <w:rPr>
          <w:rFonts w:ascii="Avenir Book" w:hAnsi="Avenir Book"/>
        </w:rPr>
      </w:pPr>
      <w:r>
        <w:rPr>
          <w:rFonts w:ascii="Avenir Book" w:hAnsi="Avenir Book"/>
        </w:rPr>
        <w:t xml:space="preserve">• </w:t>
      </w:r>
      <w:r w:rsidR="00E637B6">
        <w:rPr>
          <w:rFonts w:ascii="Avenir Book" w:hAnsi="Avenir Book"/>
        </w:rPr>
        <w:t xml:space="preserve">Teraille, </w:t>
      </w:r>
      <w:r>
        <w:rPr>
          <w:rFonts w:ascii="Avenir Book" w:hAnsi="Avenir Book"/>
        </w:rPr>
        <w:t>Terraille: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 xml:space="preserve">"Terraille", </w:t>
      </w:r>
      <w:r w:rsidR="00E637B6">
        <w:rPr>
          <w:rFonts w:ascii="Avenir Book" w:hAnsi="Avenir Book"/>
          <w:i/>
        </w:rPr>
        <w:t>Encyclopédie</w:t>
      </w:r>
      <w:r w:rsidR="00E637B6">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E1728"/>
    <w:rsid w:val="002E58B7"/>
    <w:rsid w:val="002F32EB"/>
    <w:rsid w:val="002F7062"/>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759C2"/>
    <w:rsid w:val="00576CD5"/>
    <w:rsid w:val="00580040"/>
    <w:rsid w:val="00587D87"/>
    <w:rsid w:val="00593969"/>
    <w:rsid w:val="00595348"/>
    <w:rsid w:val="005A0085"/>
    <w:rsid w:val="005A58E4"/>
    <w:rsid w:val="005C17BE"/>
    <w:rsid w:val="005C1D06"/>
    <w:rsid w:val="005C5A68"/>
    <w:rsid w:val="005C789A"/>
    <w:rsid w:val="005D7487"/>
    <w:rsid w:val="00603937"/>
    <w:rsid w:val="00603B8D"/>
    <w:rsid w:val="00610FF7"/>
    <w:rsid w:val="00611307"/>
    <w:rsid w:val="006123F5"/>
    <w:rsid w:val="006171F3"/>
    <w:rsid w:val="00617E12"/>
    <w:rsid w:val="00620FAF"/>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71C9"/>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52C5"/>
    <w:rsid w:val="00D66E38"/>
    <w:rsid w:val="00D80620"/>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C3B6D"/>
    <w:rsid w:val="00FC3FD8"/>
    <w:rsid w:val="00FD521D"/>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14</Pages>
  <Words>5428</Words>
  <Characters>30946</Characters>
  <Application>Microsoft Macintosh Word</Application>
  <DocSecurity>0</DocSecurity>
  <Lines>257</Lines>
  <Paragraphs>72</Paragraphs>
  <ScaleCrop>false</ScaleCrop>
  <Company/>
  <LinksUpToDate>false</LinksUpToDate>
  <CharactersWithSpaces>36302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311</cp:revision>
  <dcterms:created xsi:type="dcterms:W3CDTF">2015-04-17T09:12:00Z</dcterms:created>
  <dcterms:modified xsi:type="dcterms:W3CDTF">2015-12-03T18:50:00Z</dcterms:modified>
</cp:coreProperties>
</file>