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A0" w:rsidRDefault="00356795" w:rsidP="00356795">
      <w:pPr>
        <w:jc w:val="center"/>
        <w:rPr>
          <w:sz w:val="28"/>
        </w:rPr>
      </w:pPr>
      <w:r>
        <w:rPr>
          <w:sz w:val="28"/>
        </w:rPr>
        <w:t>Economie française au 18</w:t>
      </w:r>
      <w:r w:rsidRPr="00356795">
        <w:rPr>
          <w:sz w:val="28"/>
          <w:vertAlign w:val="superscript"/>
        </w:rPr>
        <w:t>ème</w:t>
      </w:r>
      <w:r>
        <w:rPr>
          <w:sz w:val="28"/>
        </w:rPr>
        <w:t xml:space="preserve"> siècle</w:t>
      </w:r>
    </w:p>
    <w:p w:rsidR="00356795" w:rsidRDefault="00356795" w:rsidP="00356795">
      <w:r>
        <w:t>1715 : fin du règne de Louis XIV.</w:t>
      </w:r>
    </w:p>
    <w:p w:rsidR="00356795" w:rsidRDefault="00356795" w:rsidP="00356795">
      <w:r>
        <w:t xml:space="preserve">1714 : </w:t>
      </w:r>
      <w:r w:rsidR="00150EEB">
        <w:t xml:space="preserve">traité d’Utrecht </w:t>
      </w:r>
      <w:r>
        <w:t xml:space="preserve">fin de la guerre de </w:t>
      </w:r>
      <w:r w:rsidR="00301906">
        <w:t>Succession d’Espagne</w:t>
      </w:r>
      <w:r w:rsidR="00150EEB">
        <w:t>,</w:t>
      </w:r>
      <w:r w:rsidR="00301906">
        <w:t xml:space="preserve"> très favorable à l’Angleterre et un peu favorable à la France.</w:t>
      </w:r>
    </w:p>
    <w:p w:rsidR="00615122" w:rsidRDefault="00615122" w:rsidP="00356795"/>
    <w:p w:rsidR="00615122" w:rsidRDefault="00615122" w:rsidP="00356795">
      <w:r>
        <w:t xml:space="preserve">Baisse des prix </w:t>
      </w:r>
      <w:r>
        <w:sym w:font="Wingdings" w:char="F0E8"/>
      </w:r>
      <w:r>
        <w:t xml:space="preserve"> hausse de productivité ou baisse des coûts de transactions.</w:t>
      </w:r>
    </w:p>
    <w:p w:rsidR="00615122" w:rsidRDefault="00615122" w:rsidP="00356795">
      <w:r>
        <w:t xml:space="preserve">Hausse des prix </w:t>
      </w:r>
      <w:r>
        <w:sym w:font="Wingdings" w:char="F0E8"/>
      </w:r>
      <w:r>
        <w:t xml:space="preserve"> augmentation de la consommation ou augmentation des coûts de transactions.</w:t>
      </w:r>
    </w:p>
    <w:p w:rsidR="00615122" w:rsidRDefault="00615122" w:rsidP="00356795"/>
    <w:p w:rsidR="00615122" w:rsidRDefault="00615122" w:rsidP="00356795">
      <w:r>
        <w:t>Les guerres (maritimes notamment) augmentent les coûts de transport et devrait donc avoir un effet inflationniste sur les prix.</w:t>
      </w:r>
    </w:p>
    <w:p w:rsidR="00615122" w:rsidRDefault="00615122" w:rsidP="00356795"/>
    <w:p w:rsidR="00615122" w:rsidRDefault="00615122" w:rsidP="00356795">
      <w:r>
        <w:t xml:space="preserve">Les différences de prix entre ports peuvent venir : de différences de structure des prix (les produits vendus ne sont pas les mêmes) ou de différence de prix (l’évolution des prix des biens ne sont pas équivalents). </w:t>
      </w:r>
    </w:p>
    <w:p w:rsidR="00615122" w:rsidRDefault="00615122" w:rsidP="00356795">
      <w:r>
        <w:t>Dans le premier cas, il peut y avoir des différences importantes de structure dans les exportations, car les produits exportés dans chaque port sont des produits régionaux (par exemple beaucoup de vins exportés depuis bordeaux mais peu depuis les autres ports). Pour les</w:t>
      </w:r>
      <w:r w:rsidR="00336B4B">
        <w:t xml:space="preserve"> importations, l’effet de structure doit être moins important notamment pour les importations les plus lointaines où les prix de transport sont équivalents pour l’ensemble des ports.</w:t>
      </w:r>
    </w:p>
    <w:p w:rsidR="00336B4B" w:rsidRDefault="00336B4B" w:rsidP="00356795">
      <w:r>
        <w:t>Dans le second cas, les ports peuvent avoir des gestions différentes et des niveaux de productivités différents qui influent sur les prix. Les différences peuvent aussi venir d’effet de rattrapage des prix : les prix étaient initialement plus bas et remontent au fur et à mesure de l’intégration du port.</w:t>
      </w:r>
    </w:p>
    <w:p w:rsidR="00336B4B" w:rsidRDefault="00336B4B" w:rsidP="00356795">
      <w:r>
        <w:t>Lorsque les ports ne sont pas intégrés de la même façon dans le marché, il peut exister des différences de prix entre chacun.</w:t>
      </w:r>
    </w:p>
    <w:p w:rsidR="007A59FE" w:rsidRDefault="007A59FE" w:rsidP="00356795"/>
    <w:p w:rsidR="007A59FE" w:rsidRDefault="007A59FE" w:rsidP="00356795">
      <w:r>
        <w:t xml:space="preserve">Rendements décroissants dans l’agriculture </w:t>
      </w:r>
      <w:r>
        <w:sym w:font="Wingdings" w:char="F0E8"/>
      </w:r>
      <w:r>
        <w:t xml:space="preserve"> lorsque les quantités produites augmentent, les prix aussi.</w:t>
      </w:r>
    </w:p>
    <w:p w:rsidR="000341C8" w:rsidRDefault="000341C8" w:rsidP="00356795"/>
    <w:p w:rsidR="000341C8" w:rsidRDefault="000341C8" w:rsidP="00356795"/>
    <w:p w:rsidR="000341C8" w:rsidRDefault="000341C8" w:rsidP="00356795">
      <w:r>
        <w:t>Histoire :</w:t>
      </w:r>
    </w:p>
    <w:p w:rsidR="000341C8" w:rsidRDefault="000341C8" w:rsidP="00356795">
      <w:r>
        <w:t>1720</w:t>
      </w:r>
      <w:r w:rsidR="009A26EB">
        <w:t>-175</w:t>
      </w:r>
      <w:r>
        <w:t xml:space="preserve">0 </w:t>
      </w:r>
      <w:r>
        <w:sym w:font="Wingdings" w:char="F0E8"/>
      </w:r>
      <w:r w:rsidR="00BD49CA">
        <w:t xml:space="preserve"> Forte hausse </w:t>
      </w:r>
      <w:r>
        <w:t>du commerce français (plus importante que celle de l’Angleterre).</w:t>
      </w:r>
      <w:r w:rsidR="009A26EB">
        <w:t xml:space="preserve"> </w:t>
      </w:r>
    </w:p>
    <w:p w:rsidR="009A26EB" w:rsidRDefault="009A26EB" w:rsidP="00356795">
      <w:r>
        <w:t xml:space="preserve">1756-1763 </w:t>
      </w:r>
      <w:r>
        <w:sym w:font="Wingdings" w:char="F0E8"/>
      </w:r>
      <w:r w:rsidR="00BD49CA">
        <w:t xml:space="preserve"> Guerre de sept ans qui stoppe</w:t>
      </w:r>
      <w:r>
        <w:t xml:space="preserve"> le commerce. </w:t>
      </w:r>
    </w:p>
    <w:p w:rsidR="009A26EB" w:rsidRDefault="009A26EB" w:rsidP="00356795">
      <w:r>
        <w:lastRenderedPageBreak/>
        <w:t xml:space="preserve">1763-1775 </w:t>
      </w:r>
      <w:r>
        <w:sym w:font="Wingdings" w:char="F0E8"/>
      </w:r>
      <w:r>
        <w:t xml:space="preserve"> Stagnation du commerce.</w:t>
      </w:r>
    </w:p>
    <w:p w:rsidR="009A26EB" w:rsidRDefault="009A26EB" w:rsidP="00356795">
      <w:r>
        <w:t xml:space="preserve">1775-1783 </w:t>
      </w:r>
      <w:r>
        <w:sym w:font="Wingdings" w:char="F0E8"/>
      </w:r>
      <w:r>
        <w:t xml:space="preserve"> Guerre d’Amérique (guerre d’indépendance des Etats-Unis). Baisse du commerce.</w:t>
      </w:r>
    </w:p>
    <w:p w:rsidR="009A26EB" w:rsidRDefault="009A26EB" w:rsidP="00356795">
      <w:r>
        <w:t xml:space="preserve">1783- </w:t>
      </w:r>
      <w:r>
        <w:sym w:font="Wingdings" w:char="F0E8"/>
      </w:r>
      <w:r>
        <w:t xml:space="preserve"> Reprise d’</w:t>
      </w:r>
      <w:r w:rsidR="006645BD">
        <w:t>une forte hausse du commerce</w:t>
      </w:r>
      <w:r>
        <w:t>.</w:t>
      </w:r>
    </w:p>
    <w:p w:rsidR="006645BD" w:rsidRDefault="006645BD" w:rsidP="00356795"/>
    <w:p w:rsidR="006645BD" w:rsidRDefault="006645BD" w:rsidP="00356795">
      <w:r>
        <w:t>Au cours du XVIIIème siècle, on assiste à une fort</w:t>
      </w:r>
      <w:r w:rsidR="004738A6">
        <w:t>e</w:t>
      </w:r>
      <w:r>
        <w:t xml:space="preserve"> croissance des </w:t>
      </w:r>
      <w:r w:rsidR="004738A6">
        <w:t>prix agricoles malgré des irrégularités temporelles et spatiales.</w:t>
      </w:r>
    </w:p>
    <w:p w:rsidR="00E53B08" w:rsidRDefault="00E53B08" w:rsidP="00356795">
      <w:r>
        <w:t>Pendant cette période, les rendements n’ont presque pas progressé, mais la majorité de l’augmentation de la production (suivant l’augmentation de la population s’est fait par une grande quantité de défrichements.</w:t>
      </w:r>
    </w:p>
    <w:p w:rsidR="00E53B08" w:rsidRDefault="00E53B08" w:rsidP="00356795">
      <w:r>
        <w:t>On constate également une augmentation de la productivité du travail due à une uniformisation des champs  et une progression dans les outils utilisés.</w:t>
      </w:r>
    </w:p>
    <w:p w:rsidR="00877DBB" w:rsidRDefault="00877DBB" w:rsidP="00356795"/>
    <w:p w:rsidR="00877DBB" w:rsidRDefault="00877DBB" w:rsidP="00356795">
      <w:r>
        <w:t>Le développement industriel de la France est bien plus important que celui agricole. Le produit industriel rattrape celui de l’Angleterre au cours de ce siècle : il passe de 26% à 41% du produit matériel.</w:t>
      </w:r>
    </w:p>
    <w:p w:rsidR="00877DBB" w:rsidRPr="00E53B08" w:rsidRDefault="00877DBB" w:rsidP="00356795">
      <w:r>
        <w:t xml:space="preserve">Cette expansion est notamment </w:t>
      </w:r>
      <w:r w:rsidR="0041739C">
        <w:t>dopée</w:t>
      </w:r>
      <w:r>
        <w:t xml:space="preserve"> par l’industrie textile, une des principales à cette époque</w:t>
      </w:r>
    </w:p>
    <w:p w:rsidR="006645BD" w:rsidRDefault="006645BD" w:rsidP="00356795"/>
    <w:p w:rsidR="009A26EB" w:rsidRDefault="009A26EB" w:rsidP="00356795"/>
    <w:p w:rsidR="00301906" w:rsidRPr="00356795" w:rsidRDefault="00301906" w:rsidP="00356795"/>
    <w:p w:rsidR="00356795" w:rsidRDefault="00BD49CA" w:rsidP="00356795">
      <w:pPr>
        <w:jc w:val="center"/>
        <w:rPr>
          <w:b/>
          <w:sz w:val="36"/>
        </w:rPr>
      </w:pPr>
      <w:r>
        <w:rPr>
          <w:b/>
          <w:sz w:val="36"/>
        </w:rPr>
        <w:t>Plan détaillé</w:t>
      </w:r>
    </w:p>
    <w:p w:rsidR="00BD49CA" w:rsidRDefault="00BD49CA" w:rsidP="00BD49CA">
      <w:pPr>
        <w:rPr>
          <w:sz w:val="24"/>
          <w:szCs w:val="24"/>
        </w:rPr>
      </w:pPr>
      <w:r>
        <w:rPr>
          <w:sz w:val="24"/>
          <w:szCs w:val="24"/>
        </w:rPr>
        <w:t>Introduction sur les prix</w:t>
      </w:r>
    </w:p>
    <w:p w:rsidR="008C09F2" w:rsidRPr="00936C86" w:rsidRDefault="00936C86" w:rsidP="00BD49CA">
      <w:pPr>
        <w:rPr>
          <w:sz w:val="20"/>
          <w:szCs w:val="24"/>
        </w:rPr>
      </w:pPr>
      <w:r>
        <w:rPr>
          <w:sz w:val="20"/>
          <w:szCs w:val="24"/>
        </w:rPr>
        <w:t>Dans une économie de marché, le prix est l’expression monétaire de la valeur d’un bien et le résultat de la rencontre de l’offre et de la demande.</w:t>
      </w:r>
      <w:bookmarkStart w:id="0" w:name="_GoBack"/>
      <w:bookmarkEnd w:id="0"/>
    </w:p>
    <w:p w:rsidR="00F2400E" w:rsidRDefault="00F2400E" w:rsidP="00BD49CA">
      <w:pPr>
        <w:rPr>
          <w:sz w:val="24"/>
          <w:szCs w:val="24"/>
        </w:rPr>
      </w:pPr>
    </w:p>
    <w:p w:rsidR="00110D58" w:rsidRDefault="00110D58" w:rsidP="00BD49CA">
      <w:pPr>
        <w:rPr>
          <w:sz w:val="24"/>
          <w:szCs w:val="24"/>
        </w:rPr>
      </w:pPr>
      <w:r>
        <w:rPr>
          <w:sz w:val="24"/>
          <w:szCs w:val="24"/>
        </w:rPr>
        <w:t>Présentation de la base de données</w:t>
      </w:r>
    </w:p>
    <w:p w:rsidR="00F2400E" w:rsidRDefault="00F2400E" w:rsidP="00BD49CA">
      <w:pPr>
        <w:rPr>
          <w:sz w:val="24"/>
          <w:szCs w:val="24"/>
        </w:rPr>
      </w:pPr>
    </w:p>
    <w:p w:rsidR="0083776F" w:rsidRDefault="00F2400E" w:rsidP="00BD49CA">
      <w:pPr>
        <w:rPr>
          <w:sz w:val="24"/>
          <w:szCs w:val="24"/>
        </w:rPr>
      </w:pPr>
      <w:r>
        <w:rPr>
          <w:sz w:val="24"/>
          <w:szCs w:val="24"/>
        </w:rPr>
        <w:t>Construction des indices des prix</w:t>
      </w:r>
    </w:p>
    <w:p w:rsidR="008C09F2" w:rsidRDefault="008C09F2" w:rsidP="008C09F2">
      <w:pPr>
        <w:rPr>
          <w:sz w:val="20"/>
          <w:szCs w:val="20"/>
        </w:rPr>
      </w:pPr>
      <w:r>
        <w:rPr>
          <w:sz w:val="20"/>
          <w:szCs w:val="20"/>
        </w:rPr>
        <w:t>A partir de la base de données TOFLIT, nous avons construit des indices de prix d’importation et d’exportation, pour chacun des ports pour lesquelles nous disposions d’un nombre suffisant de données : Marseille, Bordeaux, Nantes, La Rochelle, Bayonne et Rennes. En raison du nombre limité de données et de la faible répétition des produits d’une année sur l’autre, la construction de ces indices a été réalisée par la méthode des ventes répétées et non par la méthode des ventes chainées.</w:t>
      </w:r>
    </w:p>
    <w:p w:rsidR="008C09F2" w:rsidRPr="009925ED" w:rsidRDefault="008C09F2" w:rsidP="008C09F2">
      <w:pPr>
        <w:rPr>
          <w:sz w:val="20"/>
          <w:szCs w:val="20"/>
        </w:rPr>
      </w:pPr>
      <w:r w:rsidRPr="009925ED">
        <w:rPr>
          <w:sz w:val="20"/>
          <w:szCs w:val="20"/>
        </w:rPr>
        <w:lastRenderedPageBreak/>
        <w:t xml:space="preserve">La méthode des ventes répétées est généralement utilisée pour calculer des indices de prix immobiliers. Elle a l’avantage de pouvoir être utilisée facilement car elle nécessite uniquement des données sur la date et le prix  des biens vendus au moins deux fois au cours du temps </w:t>
      </w:r>
      <w:r w:rsidRPr="009925ED">
        <w:rPr>
          <w:sz w:val="20"/>
          <w:szCs w:val="20"/>
        </w:rPr>
        <w:fldChar w:fldCharType="begin"/>
      </w:r>
      <w:r w:rsidRPr="009925ED">
        <w:rPr>
          <w:sz w:val="20"/>
          <w:szCs w:val="20"/>
        </w:rPr>
        <w:instrText xml:space="preserve"> ADDIN ZOTERO_ITEM CSL_CITATION {"citationID":"NEnRpGeM","properties":{"formattedCitation":"(Statistical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Pr="009925ED">
        <w:rPr>
          <w:sz w:val="20"/>
          <w:szCs w:val="20"/>
        </w:rPr>
        <w:fldChar w:fldCharType="separate"/>
      </w:r>
      <w:r w:rsidRPr="009925ED">
        <w:rPr>
          <w:rFonts w:ascii="Calibri" w:hAnsi="Calibri" w:cs="Calibri"/>
          <w:sz w:val="20"/>
          <w:szCs w:val="20"/>
        </w:rPr>
        <w:t>(</w:t>
      </w:r>
      <w:proofErr w:type="spellStart"/>
      <w:r w:rsidRPr="009925ED">
        <w:rPr>
          <w:rFonts w:ascii="Calibri" w:hAnsi="Calibri" w:cs="Calibri"/>
          <w:sz w:val="20"/>
          <w:szCs w:val="20"/>
        </w:rPr>
        <w:t>Statistical</w:t>
      </w:r>
      <w:proofErr w:type="spellEnd"/>
      <w:r w:rsidRPr="009925ED">
        <w:rPr>
          <w:rFonts w:ascii="Calibri" w:hAnsi="Calibri" w:cs="Calibri"/>
          <w:sz w:val="20"/>
          <w:szCs w:val="20"/>
        </w:rPr>
        <w:t xml:space="preserve"> Office of the </w:t>
      </w:r>
      <w:proofErr w:type="spellStart"/>
      <w:r w:rsidRPr="009925ED">
        <w:rPr>
          <w:rFonts w:ascii="Calibri" w:hAnsi="Calibri" w:cs="Calibri"/>
          <w:sz w:val="20"/>
          <w:szCs w:val="20"/>
        </w:rPr>
        <w:t>European</w:t>
      </w:r>
      <w:proofErr w:type="spellEnd"/>
      <w:r w:rsidRPr="009925ED">
        <w:rPr>
          <w:rFonts w:ascii="Calibri" w:hAnsi="Calibri" w:cs="Calibri"/>
          <w:sz w:val="20"/>
          <w:szCs w:val="20"/>
        </w:rPr>
        <w:t xml:space="preserve"> </w:t>
      </w:r>
      <w:proofErr w:type="spellStart"/>
      <w:r w:rsidRPr="009925ED">
        <w:rPr>
          <w:rFonts w:ascii="Calibri" w:hAnsi="Calibri" w:cs="Calibri"/>
          <w:sz w:val="20"/>
          <w:szCs w:val="20"/>
        </w:rPr>
        <w:t>Communities</w:t>
      </w:r>
      <w:proofErr w:type="spellEnd"/>
      <w:r w:rsidRPr="009925ED">
        <w:rPr>
          <w:rFonts w:ascii="Calibri" w:hAnsi="Calibri" w:cs="Calibri"/>
          <w:sz w:val="20"/>
          <w:szCs w:val="20"/>
        </w:rPr>
        <w:t xml:space="preserve"> et al. 2013)</w:t>
      </w:r>
      <w:r w:rsidRPr="009925ED">
        <w:rPr>
          <w:sz w:val="20"/>
          <w:szCs w:val="20"/>
        </w:rPr>
        <w:fldChar w:fldCharType="end"/>
      </w:r>
      <w:r w:rsidRPr="009925ED">
        <w:rPr>
          <w:sz w:val="20"/>
          <w:szCs w:val="20"/>
        </w:rPr>
        <w:t>..</w:t>
      </w:r>
    </w:p>
    <w:p w:rsidR="008C09F2" w:rsidRPr="009925ED" w:rsidRDefault="008C09F2" w:rsidP="008C09F2">
      <w:pPr>
        <w:rPr>
          <w:sz w:val="20"/>
          <w:szCs w:val="20"/>
        </w:rPr>
      </w:pPr>
      <w:r w:rsidRPr="009925ED">
        <w:rPr>
          <w:sz w:val="20"/>
          <w:szCs w:val="20"/>
        </w:rPr>
        <w:t>L’indice est obtenu en considérant des régressions systématiques entre l’ensemble des transactions réalisées aux T années, selon l’équation suivante :</w:t>
      </w:r>
    </w:p>
    <w:p w:rsidR="008C09F2" w:rsidRPr="00122DF8" w:rsidRDefault="008C09F2" w:rsidP="008C09F2">
      <w:pPr>
        <w:rPr>
          <w:rFonts w:eastAsiaTheme="minorEastAsia"/>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t</m:t>
                          </m:r>
                        </m:sup>
                      </m:sSubSup>
                    </m:num>
                    <m:den>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s</m:t>
                          </m:r>
                        </m:sup>
                      </m:sSubSup>
                    </m:den>
                  </m:f>
                </m:e>
              </m:d>
            </m:e>
          </m:func>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t=0</m:t>
              </m:r>
            </m:sub>
            <m:sup>
              <m:r>
                <w:rPr>
                  <w:rFonts w:ascii="Cambria Math" w:hAnsi="Cambria Math"/>
                  <w:sz w:val="20"/>
                  <w:szCs w:val="20"/>
                </w:rPr>
                <m:t>T</m:t>
              </m:r>
            </m:sup>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t</m:t>
                  </m:r>
                </m:sup>
              </m:sSup>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n</m:t>
                  </m:r>
                </m:sub>
                <m:sup>
                  <m:r>
                    <w:rPr>
                      <w:rFonts w:ascii="Cambria Math" w:hAnsi="Cambria Math"/>
                      <w:sz w:val="20"/>
                      <w:szCs w:val="20"/>
                    </w:rPr>
                    <m:t>t</m:t>
                  </m:r>
                </m:sup>
              </m:sSubSup>
            </m:e>
          </m:nary>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ϵ</m:t>
              </m:r>
            </m:e>
            <m:sub>
              <m:r>
                <w:rPr>
                  <w:rFonts w:ascii="Cambria Math" w:hAnsi="Cambria Math"/>
                  <w:sz w:val="20"/>
                  <w:szCs w:val="20"/>
                </w:rPr>
                <m:t>n</m:t>
              </m:r>
            </m:sub>
            <m:sup>
              <m:r>
                <w:rPr>
                  <w:rFonts w:ascii="Cambria Math" w:hAnsi="Cambria Math"/>
                  <w:sz w:val="20"/>
                  <w:szCs w:val="20"/>
                </w:rPr>
                <m:t>t</m:t>
              </m:r>
            </m:sup>
          </m:sSubSup>
        </m:oMath>
      </m:oMathPara>
    </w:p>
    <w:p w:rsidR="008C09F2" w:rsidRPr="009925ED" w:rsidRDefault="008C09F2" w:rsidP="008C09F2">
      <w:pPr>
        <w:rPr>
          <w:sz w:val="20"/>
          <w:szCs w:val="20"/>
        </w:rPr>
      </w:pPr>
      <w:r w:rsidRPr="009925ED">
        <w:rPr>
          <w:sz w:val="20"/>
          <w:szCs w:val="20"/>
        </w:rPr>
        <w:t xml:space="preserve">Avec </w:t>
      </w:r>
      <w:proofErr w:type="spellStart"/>
      <w:r w:rsidRPr="009925ED">
        <w:rPr>
          <w:sz w:val="20"/>
          <w:szCs w:val="20"/>
        </w:rPr>
        <w:t>D</w:t>
      </w:r>
      <w:r w:rsidRPr="009925ED">
        <w:rPr>
          <w:sz w:val="20"/>
          <w:szCs w:val="20"/>
          <w:vertAlign w:val="subscript"/>
        </w:rPr>
        <w:t>n</w:t>
      </w:r>
      <w:r w:rsidRPr="009925ED">
        <w:rPr>
          <w:sz w:val="20"/>
          <w:szCs w:val="20"/>
          <w:vertAlign w:val="superscript"/>
        </w:rPr>
        <w:t>t</w:t>
      </w:r>
      <w:proofErr w:type="spellEnd"/>
      <w:r w:rsidRPr="009925ED">
        <w:rPr>
          <w:sz w:val="20"/>
          <w:szCs w:val="20"/>
          <w:vertAlign w:val="superscript"/>
        </w:rPr>
        <w:t xml:space="preserve"> </w:t>
      </w:r>
      <w:r w:rsidRPr="009925ED">
        <w:rPr>
          <w:sz w:val="20"/>
          <w:szCs w:val="20"/>
        </w:rPr>
        <w:t xml:space="preserve">le vecteur des variables égales à 1 lors de la revente (t), à -1 lors de la vente précédente (s) et 0 sinon, p le vecteur des prix des n produits considéré, </w:t>
      </w:r>
      <w:r w:rsidRPr="009925ED">
        <w:rPr>
          <w:rFonts w:cstheme="minorHAnsi"/>
          <w:sz w:val="20"/>
          <w:szCs w:val="20"/>
        </w:rPr>
        <w:t>β</w:t>
      </w:r>
      <w:r w:rsidRPr="009925ED">
        <w:rPr>
          <w:rFonts w:cstheme="minorHAnsi"/>
          <w:sz w:val="20"/>
          <w:szCs w:val="20"/>
          <w:vertAlign w:val="superscript"/>
        </w:rPr>
        <w:t>t</w:t>
      </w:r>
      <w:r w:rsidRPr="009925ED">
        <w:rPr>
          <w:sz w:val="20"/>
          <w:szCs w:val="20"/>
        </w:rPr>
        <w:t xml:space="preserve"> le coefficient estimé et </w:t>
      </w:r>
      <w:proofErr w:type="spellStart"/>
      <w:r w:rsidRPr="009925ED">
        <w:rPr>
          <w:rFonts w:cstheme="minorHAnsi"/>
          <w:sz w:val="20"/>
          <w:szCs w:val="20"/>
        </w:rPr>
        <w:t>ε</w:t>
      </w:r>
      <w:r w:rsidRPr="009925ED">
        <w:rPr>
          <w:sz w:val="20"/>
          <w:szCs w:val="20"/>
          <w:vertAlign w:val="subscript"/>
        </w:rPr>
        <w:t>n</w:t>
      </w:r>
      <w:r w:rsidRPr="009925ED">
        <w:rPr>
          <w:sz w:val="20"/>
          <w:szCs w:val="20"/>
          <w:vertAlign w:val="superscript"/>
        </w:rPr>
        <w:t>t</w:t>
      </w:r>
      <w:proofErr w:type="spellEnd"/>
      <w:r w:rsidRPr="009925ED">
        <w:rPr>
          <w:sz w:val="20"/>
          <w:szCs w:val="20"/>
          <w:vertAlign w:val="superscript"/>
        </w:rPr>
        <w:t xml:space="preserve"> </w:t>
      </w:r>
      <w:r w:rsidRPr="009925ED">
        <w:rPr>
          <w:sz w:val="20"/>
          <w:szCs w:val="20"/>
        </w:rPr>
        <w:t xml:space="preserve">le vecteur des classiques des erreurs </w:t>
      </w:r>
      <w:r w:rsidRPr="009925ED">
        <w:rPr>
          <w:sz w:val="20"/>
          <w:szCs w:val="20"/>
        </w:rPr>
        <w:fldChar w:fldCharType="begin"/>
      </w:r>
      <w:r w:rsidRPr="009925ED">
        <w:rPr>
          <w:sz w:val="20"/>
          <w:szCs w:val="20"/>
        </w:rPr>
        <w:instrText xml:space="preserve"> ADDIN ZOTERO_ITEM CSL_CITATION {"citationID":"SJHQJT2r","properties":{"formattedCitation":"(Statistical Office of the European Communities et al. 2013)","plainCitation":"(Statistical Office of the European Communities et al. 2013)","noteIndex":0},"citationItems":[{"id":930,"uris":["http://zotero.org/users/7122481/items/VBWM9429"],"uri":["http://zotero.org/users/7122481/items/VBWM9429"],"itemData":{"id":930,"type":"book","abstract":"For most citizens, buying a residential property (dwelling) is the most important transaction during their lifetime. Residential properties represent the most significant component of households' expenses and, at the same time, their most valuable assets. The Residential Property Prices Indices (RPPIs) are index numbers measuring the rate at which the prices of residential properties are changing over time. RPPIs are key statistics not only for citizens and households across the world, but also for economic and monetary policy makers. Among their professional uses, they serve, for example, to monitor macroeconomic imbalances and risk exposure of the financial sector. This Handbook provides, for the first time, comprehensive guidelines for the compilation of RPPIs and explains in depth the methods and best practices used to calculate an RPPI. It also examines the underlying economic and statistical concepts and defines the principles guiding the methodological and practical choices for the compilation of the indices. The Handbook primarily addresses official statisticians in charge of producing residential property price indices; at the same time, it addresses the overall requirement on RPPIs by providing a harmonised methodological and practical framework to all parties interested in the compilation of such indices. The RPPIs Handbook has been written by leading academics in index number theory and by recognised experts in RPPIs compilation. Its development has been coordinated by Eurostat, the statistical office of the European Union, with the collaboration of the International Labour Organization (ILO), International Monetary Fund (IMF), Organisation for Economic Co-operation and Development (OECD), United Nations Economic Commission for Europe (UNECE) and the World Bank.","ISBN":"978-92-79-25984-5","language":"en_US","note":"container-title: Handbook on Residential Property Prices (RPPIs)\nsection: Handbook on Residential Property Prices (RPPIs)","publisher":"INTERNATIONAL MONETARY FUND","source":"www.elibrary.imf.org","title":"6. Repeat Sales Methods","URL":"https://www.elibrary.imf.org/view/IMF069/20476-9789279259845/20476-9789279259845/ch06.xml?redirect=true","author":[{"literal":"Statistical Office of the European Communities"},{"literal":"International Labour Office"},{"literal":"International Monetary Fund"},{"literal":"Organization for Economic Co-operation and Development"},{"literal":"United Nations"},{"literal":"World Bank"}],"accessed":{"date-parts":[["2021",3,8]]},"issued":{"date-parts":[["2013",5,21]]}}}],"schema":"https://github.com/citation-style-language/schema/raw/master/csl-citation.json"} </w:instrText>
      </w:r>
      <w:r w:rsidRPr="009925ED">
        <w:rPr>
          <w:sz w:val="20"/>
          <w:szCs w:val="20"/>
        </w:rPr>
        <w:fldChar w:fldCharType="separate"/>
      </w:r>
      <w:r w:rsidRPr="009925ED">
        <w:rPr>
          <w:rFonts w:ascii="Calibri" w:hAnsi="Calibri" w:cs="Calibri"/>
          <w:sz w:val="20"/>
          <w:szCs w:val="20"/>
        </w:rPr>
        <w:t>(</w:t>
      </w:r>
      <w:proofErr w:type="spellStart"/>
      <w:r w:rsidRPr="009925ED">
        <w:rPr>
          <w:rFonts w:ascii="Calibri" w:hAnsi="Calibri" w:cs="Calibri"/>
          <w:sz w:val="20"/>
          <w:szCs w:val="20"/>
        </w:rPr>
        <w:t>Statistical</w:t>
      </w:r>
      <w:proofErr w:type="spellEnd"/>
      <w:r w:rsidRPr="009925ED">
        <w:rPr>
          <w:rFonts w:ascii="Calibri" w:hAnsi="Calibri" w:cs="Calibri"/>
          <w:sz w:val="20"/>
          <w:szCs w:val="20"/>
        </w:rPr>
        <w:t xml:space="preserve"> Office of the </w:t>
      </w:r>
      <w:proofErr w:type="spellStart"/>
      <w:r w:rsidRPr="009925ED">
        <w:rPr>
          <w:rFonts w:ascii="Calibri" w:hAnsi="Calibri" w:cs="Calibri"/>
          <w:sz w:val="20"/>
          <w:szCs w:val="20"/>
        </w:rPr>
        <w:t>European</w:t>
      </w:r>
      <w:proofErr w:type="spellEnd"/>
      <w:r w:rsidRPr="009925ED">
        <w:rPr>
          <w:rFonts w:ascii="Calibri" w:hAnsi="Calibri" w:cs="Calibri"/>
          <w:sz w:val="20"/>
          <w:szCs w:val="20"/>
        </w:rPr>
        <w:t xml:space="preserve"> </w:t>
      </w:r>
      <w:proofErr w:type="spellStart"/>
      <w:r w:rsidRPr="009925ED">
        <w:rPr>
          <w:rFonts w:ascii="Calibri" w:hAnsi="Calibri" w:cs="Calibri"/>
          <w:sz w:val="20"/>
          <w:szCs w:val="20"/>
        </w:rPr>
        <w:t>Communities</w:t>
      </w:r>
      <w:proofErr w:type="spellEnd"/>
      <w:r w:rsidRPr="009925ED">
        <w:rPr>
          <w:rFonts w:ascii="Calibri" w:hAnsi="Calibri" w:cs="Calibri"/>
          <w:sz w:val="20"/>
          <w:szCs w:val="20"/>
        </w:rPr>
        <w:t xml:space="preserve"> et al. 2013)</w:t>
      </w:r>
      <w:r w:rsidRPr="009925ED">
        <w:rPr>
          <w:sz w:val="20"/>
          <w:szCs w:val="20"/>
        </w:rPr>
        <w:fldChar w:fldCharType="end"/>
      </w:r>
      <w:r w:rsidRPr="009925ED">
        <w:rPr>
          <w:sz w:val="20"/>
          <w:szCs w:val="20"/>
        </w:rPr>
        <w:t>.</w:t>
      </w:r>
    </w:p>
    <w:p w:rsidR="008C09F2" w:rsidRPr="009925ED" w:rsidRDefault="008C09F2" w:rsidP="008C09F2">
      <w:pPr>
        <w:rPr>
          <w:sz w:val="20"/>
          <w:szCs w:val="20"/>
        </w:rPr>
      </w:pPr>
      <w:r w:rsidRPr="009925ED">
        <w:rPr>
          <w:sz w:val="20"/>
          <w:szCs w:val="20"/>
        </w:rPr>
        <w:t>La première année considérée, l’indice vaut la valeur de base égale à 100 puis est égal à :</w:t>
      </w:r>
    </w:p>
    <w:p w:rsidR="008C09F2" w:rsidRPr="009925ED" w:rsidRDefault="008C09F2" w:rsidP="008C09F2">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Index</m:t>
              </m:r>
            </m:e>
            <m:sub>
              <m:r>
                <w:rPr>
                  <w:rFonts w:ascii="Cambria Math" w:hAnsi="Cambria Math"/>
                  <w:sz w:val="20"/>
                  <w:szCs w:val="20"/>
                </w:rPr>
                <m:t>t</m:t>
              </m:r>
            </m:sub>
          </m:sSub>
          <m:r>
            <w:rPr>
              <w:rFonts w:ascii="Cambria Math" w:hAnsi="Cambria Math"/>
              <w:sz w:val="20"/>
              <w:szCs w:val="20"/>
            </w:rPr>
            <m:t>=100*</m:t>
          </m:r>
          <m:r>
            <m:rPr>
              <m:sty m:val="p"/>
            </m:rPr>
            <w:rPr>
              <w:rFonts w:ascii="Cambria Math" w:hAnsi="Cambria Math"/>
              <w:sz w:val="20"/>
              <w:szCs w:val="20"/>
            </w:rPr>
            <m:t>exp⁡</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m:t>
          </m:r>
        </m:oMath>
      </m:oMathPara>
    </w:p>
    <w:p w:rsidR="008C09F2" w:rsidRPr="009925ED" w:rsidRDefault="008C09F2" w:rsidP="008C09F2">
      <w:pPr>
        <w:rPr>
          <w:rFonts w:eastAsiaTheme="minorEastAsia"/>
          <w:sz w:val="20"/>
          <w:szCs w:val="20"/>
        </w:rPr>
      </w:pPr>
      <w:r w:rsidRPr="009925ED">
        <w:rPr>
          <w:rFonts w:eastAsiaTheme="minorEastAsia"/>
          <w:sz w:val="20"/>
          <w:szCs w:val="20"/>
        </w:rPr>
        <w:t>Pour chaque année où au moins une transaction a lieu.</w:t>
      </w:r>
    </w:p>
    <w:p w:rsidR="008C16A3" w:rsidRDefault="008C16A3" w:rsidP="008C09F2">
      <w:pPr>
        <w:pStyle w:val="Paragraphedeliste"/>
        <w:ind w:left="0"/>
        <w:rPr>
          <w:sz w:val="24"/>
          <w:szCs w:val="24"/>
        </w:rPr>
      </w:pPr>
    </w:p>
    <w:p w:rsidR="008C09F2" w:rsidRDefault="008C16A3" w:rsidP="008C09F2">
      <w:pPr>
        <w:pStyle w:val="Paragraphedeliste"/>
        <w:ind w:left="0"/>
        <w:rPr>
          <w:sz w:val="20"/>
          <w:szCs w:val="20"/>
        </w:rPr>
      </w:pPr>
      <w:r>
        <w:rPr>
          <w:sz w:val="20"/>
          <w:szCs w:val="24"/>
        </w:rPr>
        <w:t xml:space="preserve">En raison d’erreurs sur les unités de mesure et les conversions, les données aberrantes sont exclues de la base de données. </w:t>
      </w:r>
      <w:r>
        <w:rPr>
          <w:sz w:val="20"/>
          <w:szCs w:val="20"/>
        </w:rPr>
        <w:t>Pour cela, nous considérons que les prix suivent une loi log-normale.</w:t>
      </w:r>
    </w:p>
    <w:p w:rsidR="008C09F2" w:rsidRDefault="008C16A3" w:rsidP="008C09F2">
      <w:pPr>
        <w:pStyle w:val="Paragraphedeliste"/>
        <w:ind w:left="0"/>
        <w:rPr>
          <w:sz w:val="20"/>
          <w:szCs w:val="20"/>
        </w:rPr>
      </w:pPr>
      <w:r>
        <w:rPr>
          <w:sz w:val="20"/>
          <w:szCs w:val="20"/>
        </w:rPr>
        <w:t>On retire ensuite les valeurs pour lesquelles</w:t>
      </w:r>
      <w:r w:rsidR="008C09F2">
        <w:rPr>
          <w:sz w:val="20"/>
          <w:szCs w:val="20"/>
        </w:rPr>
        <w:t xml:space="preserve"> le z-score modifié selon la méthode de </w:t>
      </w:r>
      <w:proofErr w:type="spellStart"/>
      <w:r w:rsidR="008C09F2">
        <w:rPr>
          <w:sz w:val="20"/>
          <w:szCs w:val="20"/>
        </w:rPr>
        <w:t>Iglewicz</w:t>
      </w:r>
      <w:proofErr w:type="spellEnd"/>
      <w:r w:rsidR="008C09F2">
        <w:rPr>
          <w:sz w:val="20"/>
          <w:szCs w:val="20"/>
        </w:rPr>
        <w:t xml:space="preserve"> et </w:t>
      </w:r>
      <w:proofErr w:type="spellStart"/>
      <w:r w:rsidR="008C09F2">
        <w:rPr>
          <w:sz w:val="20"/>
          <w:szCs w:val="20"/>
        </w:rPr>
        <w:t>Hoaglin</w:t>
      </w:r>
      <w:proofErr w:type="spellEnd"/>
      <w:r w:rsidR="008C09F2">
        <w:rPr>
          <w:sz w:val="20"/>
          <w:szCs w:val="20"/>
        </w:rPr>
        <w:t xml:space="preserve"> </w:t>
      </w:r>
      <w:r w:rsidR="008C09F2">
        <w:rPr>
          <w:sz w:val="20"/>
          <w:szCs w:val="20"/>
        </w:rPr>
        <w:fldChar w:fldCharType="begin"/>
      </w:r>
      <w:r w:rsidR="008C09F2">
        <w:rPr>
          <w:sz w:val="20"/>
          <w:szCs w:val="20"/>
        </w:rPr>
        <w:instrText xml:space="preserve"> ADDIN ZOTERO_ITEM CSL_CITATION {"citationID":"AABMUwAI","properties":{"formattedCitation":"(1993)","plainCitation":"(1993)","noteIndex":0},"citationItems":[{"id":1167,"uris":["http://zotero.org/users/7122481/items/M6YRVZE2"],"uri":["http://zotero.org/users/7122481/items/M6YRVZE2"],"itemData":{"id":1167,"type":"book","call-number":"QA276.7 .I35 1993","collection-number":"v. 16","collection-title":"ASQC basic references in quality control","event-place":"Milwaukee, Wis","ISBN":"978-0-87389-247-6","language":"en","number-of-pages":"87","publisher":"ASQC Quality Press","publisher-place":"Milwaukee, Wis","source":"Library of Congress ISBN","title":"How to detect and handle outliers","author":[{"family":"Iglewicz","given":"Boris"},{"family":"Hoaglin","given":"David C."}],"issued":{"date-parts":[["1993"]]}},"suppress-author":true}],"schema":"https://github.com/citation-style-language/schema/raw/master/csl-citation.json"} </w:instrText>
      </w:r>
      <w:r w:rsidR="008C09F2">
        <w:rPr>
          <w:sz w:val="20"/>
          <w:szCs w:val="20"/>
        </w:rPr>
        <w:fldChar w:fldCharType="separate"/>
      </w:r>
      <w:r w:rsidR="008C09F2" w:rsidRPr="006D54C1">
        <w:rPr>
          <w:rFonts w:ascii="Calibri" w:hAnsi="Calibri" w:cs="Calibri"/>
          <w:sz w:val="20"/>
        </w:rPr>
        <w:t>(1993)</w:t>
      </w:r>
      <w:r w:rsidR="008C09F2">
        <w:rPr>
          <w:sz w:val="20"/>
          <w:szCs w:val="20"/>
        </w:rPr>
        <w:fldChar w:fldCharType="end"/>
      </w:r>
      <w:r w:rsidR="008C09F2">
        <w:rPr>
          <w:sz w:val="20"/>
          <w:szCs w:val="20"/>
        </w:rPr>
        <w:t xml:space="preserve"> du log des prix est supérieur à </w:t>
      </w:r>
      <w:r>
        <w:rPr>
          <w:sz w:val="20"/>
          <w:szCs w:val="20"/>
        </w:rPr>
        <w:t>10 (correspondant théoriquement à moins de 1% des valeurs extrêmes)</w:t>
      </w:r>
      <w:r w:rsidR="008C09F2">
        <w:rPr>
          <w:sz w:val="20"/>
          <w:szCs w:val="20"/>
        </w:rPr>
        <w:t>.</w:t>
      </w:r>
    </w:p>
    <w:p w:rsidR="008C09F2" w:rsidRDefault="008C09F2" w:rsidP="008C09F2">
      <w:pPr>
        <w:pStyle w:val="Paragraphedeliste"/>
        <w:ind w:left="0"/>
        <w:rPr>
          <w:sz w:val="20"/>
          <w:szCs w:val="20"/>
        </w:rPr>
      </w:pPr>
      <w:r>
        <w:rPr>
          <w:sz w:val="20"/>
          <w:szCs w:val="20"/>
        </w:rPr>
        <w:t>Le z-score modifié est égal à :</w:t>
      </w:r>
    </w:p>
    <w:p w:rsidR="008C09F2" w:rsidRDefault="008C09F2" w:rsidP="008C09F2">
      <w:pPr>
        <w:pStyle w:val="Paragraphedeliste"/>
        <w:ind w:left="0"/>
        <w:jc w:val="center"/>
        <w:rPr>
          <w:sz w:val="20"/>
          <w:szCs w:val="20"/>
        </w:rPr>
      </w:pPr>
      <m:oMathPara>
        <m:oMath>
          <m:r>
            <w:rPr>
              <w:rFonts w:ascii="Cambria Math" w:hAnsi="Cambria Math"/>
              <w:sz w:val="20"/>
              <w:szCs w:val="20"/>
            </w:rPr>
            <m:t xml:space="preserve">Mi= </m:t>
          </m:r>
          <m:f>
            <m:fPr>
              <m:ctrlPr>
                <w:rPr>
                  <w:rFonts w:ascii="Cambria Math" w:hAnsi="Cambria Math"/>
                  <w:i/>
                  <w:sz w:val="20"/>
                  <w:szCs w:val="20"/>
                </w:rPr>
              </m:ctrlPr>
            </m:fPr>
            <m:num>
              <m:r>
                <w:rPr>
                  <w:rFonts w:ascii="Cambria Math" w:hAnsi="Cambria Math"/>
                  <w:sz w:val="20"/>
                  <w:szCs w:val="20"/>
                </w:rPr>
                <m:t>0,6745(</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 xml:space="preserve">i </m:t>
                  </m:r>
                </m:sub>
              </m:sSub>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num>
            <m:den>
              <m:r>
                <w:rPr>
                  <w:rFonts w:ascii="Cambria Math" w:hAnsi="Cambria Math"/>
                  <w:sz w:val="20"/>
                  <w:szCs w:val="20"/>
                </w:rPr>
                <m:t>MAD</m:t>
              </m:r>
            </m:den>
          </m:f>
        </m:oMath>
      </m:oMathPara>
    </w:p>
    <w:p w:rsidR="008C09F2" w:rsidRDefault="008C09F2" w:rsidP="00BD49CA">
      <w:pPr>
        <w:rPr>
          <w:sz w:val="20"/>
          <w:szCs w:val="20"/>
        </w:rPr>
      </w:pPr>
      <w:r>
        <w:rPr>
          <w:sz w:val="20"/>
          <w:szCs w:val="20"/>
        </w:rPr>
        <w:t>Avec MAD égal la déviation absolue de la médiane.</w:t>
      </w:r>
    </w:p>
    <w:p w:rsidR="008C09F2" w:rsidRDefault="008C09F2" w:rsidP="00BD49CA">
      <w:pPr>
        <w:rPr>
          <w:sz w:val="24"/>
          <w:szCs w:val="24"/>
        </w:rPr>
      </w:pPr>
    </w:p>
    <w:p w:rsidR="00F2400E" w:rsidRDefault="00F2400E" w:rsidP="00BD49CA">
      <w:pPr>
        <w:rPr>
          <w:sz w:val="24"/>
          <w:szCs w:val="24"/>
        </w:rPr>
      </w:pPr>
      <w:r>
        <w:rPr>
          <w:sz w:val="24"/>
          <w:szCs w:val="24"/>
        </w:rPr>
        <w:t>Utilisation des indices des prix</w:t>
      </w:r>
    </w:p>
    <w:p w:rsidR="00DD22E5" w:rsidRDefault="00DD22E5" w:rsidP="00BD49CA">
      <w:pPr>
        <w:rPr>
          <w:sz w:val="20"/>
          <w:szCs w:val="24"/>
        </w:rPr>
      </w:pPr>
      <w:r>
        <w:rPr>
          <w:sz w:val="20"/>
          <w:szCs w:val="24"/>
        </w:rPr>
        <w:t xml:space="preserve">L’intégration des marchés </w:t>
      </w:r>
      <w:r w:rsidRPr="00DD22E5">
        <w:rPr>
          <w:sz w:val="20"/>
          <w:szCs w:val="24"/>
        </w:rPr>
        <w:sym w:font="Wingdings" w:char="F0E8"/>
      </w:r>
      <w:r>
        <w:rPr>
          <w:sz w:val="20"/>
          <w:szCs w:val="24"/>
        </w:rPr>
        <w:t xml:space="preserve"> corrélations entre les différents indices de prix.</w:t>
      </w:r>
    </w:p>
    <w:p w:rsidR="00DD22E5" w:rsidRPr="00DD22E5" w:rsidRDefault="00DD22E5" w:rsidP="00BD49CA">
      <w:pPr>
        <w:rPr>
          <w:sz w:val="20"/>
          <w:szCs w:val="24"/>
        </w:rPr>
      </w:pPr>
      <w:r>
        <w:rPr>
          <w:sz w:val="20"/>
          <w:szCs w:val="24"/>
        </w:rPr>
        <w:t xml:space="preserve">Effet des guerres sur les indices de prix </w:t>
      </w:r>
      <w:r w:rsidRPr="00DD22E5">
        <w:rPr>
          <w:sz w:val="20"/>
          <w:szCs w:val="24"/>
        </w:rPr>
        <w:sym w:font="Wingdings" w:char="F0E8"/>
      </w:r>
      <w:r>
        <w:rPr>
          <w:sz w:val="20"/>
          <w:szCs w:val="24"/>
        </w:rPr>
        <w:t xml:space="preserve"> </w:t>
      </w:r>
      <w:r w:rsidR="00936C86">
        <w:rPr>
          <w:sz w:val="20"/>
          <w:szCs w:val="24"/>
        </w:rPr>
        <w:t>régression statistiques</w:t>
      </w:r>
    </w:p>
    <w:sectPr w:rsidR="00DD22E5" w:rsidRPr="00DD2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795"/>
    <w:rsid w:val="000341C8"/>
    <w:rsid w:val="00110D58"/>
    <w:rsid w:val="00150EEB"/>
    <w:rsid w:val="00301906"/>
    <w:rsid w:val="00336B4B"/>
    <w:rsid w:val="00356795"/>
    <w:rsid w:val="004033ED"/>
    <w:rsid w:val="0041739C"/>
    <w:rsid w:val="004738A6"/>
    <w:rsid w:val="00615122"/>
    <w:rsid w:val="006645BD"/>
    <w:rsid w:val="006F68A0"/>
    <w:rsid w:val="006F71DD"/>
    <w:rsid w:val="0073206D"/>
    <w:rsid w:val="007A59FE"/>
    <w:rsid w:val="0083776F"/>
    <w:rsid w:val="00877DBB"/>
    <w:rsid w:val="008C09F2"/>
    <w:rsid w:val="008C16A3"/>
    <w:rsid w:val="00936C86"/>
    <w:rsid w:val="009A26EB"/>
    <w:rsid w:val="00BD49CA"/>
    <w:rsid w:val="00DD22E5"/>
    <w:rsid w:val="00E53B08"/>
    <w:rsid w:val="00F24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09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9F2"/>
    <w:rPr>
      <w:rFonts w:ascii="Tahoma" w:hAnsi="Tahoma" w:cs="Tahoma"/>
      <w:sz w:val="16"/>
      <w:szCs w:val="16"/>
    </w:rPr>
  </w:style>
  <w:style w:type="paragraph" w:styleId="Paragraphedeliste">
    <w:name w:val="List Paragraph"/>
    <w:basedOn w:val="Normal"/>
    <w:uiPriority w:val="34"/>
    <w:qFormat/>
    <w:rsid w:val="008C0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09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9F2"/>
    <w:rPr>
      <w:rFonts w:ascii="Tahoma" w:hAnsi="Tahoma" w:cs="Tahoma"/>
      <w:sz w:val="16"/>
      <w:szCs w:val="16"/>
    </w:rPr>
  </w:style>
  <w:style w:type="paragraph" w:styleId="Paragraphedeliste">
    <w:name w:val="List Paragraph"/>
    <w:basedOn w:val="Normal"/>
    <w:uiPriority w:val="34"/>
    <w:qFormat/>
    <w:rsid w:val="008C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1918</Words>
  <Characters>10553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Pignede</dc:creator>
  <cp:lastModifiedBy>Edouard Pignede</cp:lastModifiedBy>
  <cp:revision>5</cp:revision>
  <dcterms:created xsi:type="dcterms:W3CDTF">2021-05-11T13:27:00Z</dcterms:created>
  <dcterms:modified xsi:type="dcterms:W3CDTF">2021-06-09T15:54:00Z</dcterms:modified>
</cp:coreProperties>
</file>