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AF" w:rsidRDefault="00CE7782" w:rsidP="00CE7782">
      <w:pPr>
        <w:jc w:val="center"/>
        <w:rPr>
          <w:sz w:val="32"/>
          <w:szCs w:val="28"/>
        </w:rPr>
      </w:pPr>
      <w:r w:rsidRPr="00CE7782">
        <w:rPr>
          <w:sz w:val="32"/>
          <w:szCs w:val="28"/>
        </w:rPr>
        <w:t>Synthèse – Résultats</w:t>
      </w:r>
    </w:p>
    <w:p w:rsidR="00CE7782" w:rsidRPr="00CE7782" w:rsidRDefault="00CE7782" w:rsidP="00CE7782">
      <w:pPr>
        <w:jc w:val="center"/>
        <w:rPr>
          <w:sz w:val="32"/>
          <w:szCs w:val="28"/>
        </w:rPr>
      </w:pPr>
    </w:p>
    <w:p w:rsidR="00CE7782" w:rsidRDefault="00CE7782" w:rsidP="00CE7782">
      <w:pPr>
        <w:pStyle w:val="Paragraphedeliste"/>
        <w:numPr>
          <w:ilvl w:val="0"/>
          <w:numId w:val="1"/>
        </w:numPr>
        <w:rPr>
          <w:b/>
          <w:sz w:val="24"/>
          <w:szCs w:val="28"/>
        </w:rPr>
      </w:pPr>
      <w:r w:rsidRPr="00CE7782">
        <w:rPr>
          <w:b/>
          <w:sz w:val="24"/>
          <w:szCs w:val="28"/>
        </w:rPr>
        <w:t>Résultats matrice de corrélation</w:t>
      </w:r>
    </w:p>
    <w:tbl>
      <w:tblPr>
        <w:tblpPr w:leftFromText="141" w:rightFromText="141" w:vertAnchor="text" w:horzAnchor="margin" w:tblpXSpec="center" w:tblpY="423"/>
        <w:tblW w:w="11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992"/>
        <w:gridCol w:w="992"/>
        <w:gridCol w:w="1064"/>
        <w:gridCol w:w="1134"/>
        <w:gridCol w:w="1134"/>
        <w:gridCol w:w="1204"/>
        <w:gridCol w:w="1134"/>
        <w:gridCol w:w="1134"/>
        <w:gridCol w:w="1134"/>
      </w:tblGrid>
      <w:tr w:rsidR="00E80D76" w:rsidRPr="00E80D76" w:rsidTr="00E80D76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80D76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color w:val="000000"/>
                <w:sz w:val="14"/>
                <w:lang w:eastAsia="fr-FR"/>
              </w:rPr>
              <w:t>Moyenne (SD)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Baseline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Outliers : </w:t>
            </w:r>
          </w:p>
          <w:p w:rsidR="00E80D76" w:rsidRPr="00E80D76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FALSE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Outliers_coef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Trans_number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Prod_problems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Product_select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Remove_double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FALSE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Ponderation : FALSE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Pond_log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Baseline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1 (0)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0,74 (0,31)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(0,09)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(0,14)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0,99 (0,00)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0,82 (0,11)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0,90 (0,09)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0,63 (0,16)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0,68 (0,13)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0,74 (0,31)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0,70 (0,31)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0,75 (0,27)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0,73 (0,31)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(0,38)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0,68 (0,34)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0,52 (0,32)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0,54 (0,33)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Outliers_coef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3.5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(0,09)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0,70 (0,31)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(0,09)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0,76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0,80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0,60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Trans_number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20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(0,14)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0,75 (0,27)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(0,14)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0,57 (0,21)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(0,20)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Prod_problems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0,99 (0,00)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0,73 (0,31)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(0,09)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(0,14)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0,82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0,90 (0,09)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0,67 (0,13)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Product_select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0,82 (0,11)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(0,38)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0,76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0,82 (0,11)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0,58 (0,18)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(0,18)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Remove_double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0,90 (0,09)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0,68 (0,34)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0,80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0,90 (0,09)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0,59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Ponderation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0,63 (0,16)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0,52 (0,32)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0,60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0,57 (0,21)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(0,16)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0,58 (0,18)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0,59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0,99 (0,00)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Pond_log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0,68 (0,13)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0,54 (0,33)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(0,20)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0,67 (0,13)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(0,18)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0,99 (0,00)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</w:tr>
    </w:tbl>
    <w:p w:rsidR="00E80D76" w:rsidRPr="00E80D76" w:rsidRDefault="00E80D76" w:rsidP="00E453B8">
      <w:pPr>
        <w:pStyle w:val="Lgende"/>
        <w:framePr w:hSpace="141" w:wrap="around" w:vAnchor="text" w:hAnchor="page" w:x="987" w:y="4721"/>
        <w:rPr>
          <w:color w:val="auto"/>
          <w:sz w:val="16"/>
        </w:rPr>
      </w:pPr>
      <w:r w:rsidRPr="00E80D76">
        <w:rPr>
          <w:color w:val="auto"/>
          <w:sz w:val="16"/>
        </w:rPr>
        <w:t xml:space="preserve">Tableau </w:t>
      </w:r>
      <w:r w:rsidRPr="00E80D76">
        <w:rPr>
          <w:color w:val="auto"/>
          <w:sz w:val="16"/>
        </w:rPr>
        <w:fldChar w:fldCharType="begin"/>
      </w:r>
      <w:r w:rsidRPr="00E80D76">
        <w:rPr>
          <w:color w:val="auto"/>
          <w:sz w:val="16"/>
        </w:rPr>
        <w:instrText xml:space="preserve"> SEQ Tableau \* ARABIC </w:instrText>
      </w:r>
      <w:r w:rsidRPr="00E80D76">
        <w:rPr>
          <w:color w:val="auto"/>
          <w:sz w:val="16"/>
        </w:rPr>
        <w:fldChar w:fldCharType="separate"/>
      </w:r>
      <w:r w:rsidR="00947B11">
        <w:rPr>
          <w:noProof/>
          <w:color w:val="auto"/>
          <w:sz w:val="16"/>
        </w:rPr>
        <w:t>1</w:t>
      </w:r>
      <w:r w:rsidRPr="00E80D76">
        <w:rPr>
          <w:color w:val="auto"/>
          <w:sz w:val="16"/>
        </w:rPr>
        <w:fldChar w:fldCharType="end"/>
      </w:r>
      <w:r w:rsidRPr="00E80D76">
        <w:rPr>
          <w:color w:val="auto"/>
          <w:sz w:val="16"/>
        </w:rPr>
        <w:t xml:space="preserve"> Moyenne et écart type des corrélations systématiques entre les indices de la baseline et la modification d'un paramètre</w:t>
      </w:r>
      <w:r w:rsidR="00F752E7">
        <w:rPr>
          <w:color w:val="auto"/>
          <w:sz w:val="16"/>
        </w:rPr>
        <w:t>. Pour les villes : Marseille, Bordeaux, La Rochelle</w:t>
      </w:r>
      <w:r w:rsidR="00947B11">
        <w:rPr>
          <w:color w:val="auto"/>
          <w:sz w:val="16"/>
        </w:rPr>
        <w:t>, Bayonne, Rennes</w:t>
      </w:r>
      <w:r w:rsidR="00F752E7">
        <w:rPr>
          <w:color w:val="auto"/>
          <w:sz w:val="16"/>
        </w:rPr>
        <w:t xml:space="preserve"> et </w:t>
      </w:r>
      <w:r w:rsidR="00A01E42">
        <w:rPr>
          <w:color w:val="auto"/>
          <w:sz w:val="16"/>
        </w:rPr>
        <w:t>Nantes.</w:t>
      </w:r>
    </w:p>
    <w:p w:rsidR="00E80D76" w:rsidRDefault="001B07BB" w:rsidP="00CE7782">
      <w:pPr>
        <w:rPr>
          <w:sz w:val="20"/>
          <w:szCs w:val="20"/>
        </w:rPr>
      </w:pPr>
      <w:r>
        <w:rPr>
          <w:sz w:val="20"/>
          <w:szCs w:val="20"/>
        </w:rPr>
        <w:t>Remarques principales :</w:t>
      </w:r>
    </w:p>
    <w:p w:rsidR="00E80D76" w:rsidRPr="001B07BB" w:rsidRDefault="00E80D76" w:rsidP="001B07B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B07BB">
        <w:rPr>
          <w:sz w:val="20"/>
          <w:szCs w:val="20"/>
        </w:rPr>
        <w:t>D’après ce tableau, on constate que trois paramètres ont un effet important sur le changement des indices : la suppression des outliers, le retirage de la pondération et le passage au log</w:t>
      </w:r>
      <w:r w:rsidR="00AD5A89">
        <w:rPr>
          <w:sz w:val="20"/>
          <w:szCs w:val="20"/>
        </w:rPr>
        <w:t>arithme</w:t>
      </w:r>
      <w:r w:rsidRPr="001B07BB">
        <w:rPr>
          <w:sz w:val="20"/>
          <w:szCs w:val="20"/>
        </w:rPr>
        <w:t xml:space="preserve"> de la pondération</w:t>
      </w:r>
      <w:r w:rsidR="001B07BB" w:rsidRPr="001B07BB">
        <w:rPr>
          <w:sz w:val="20"/>
          <w:szCs w:val="20"/>
        </w:rPr>
        <w:t>.</w:t>
      </w:r>
    </w:p>
    <w:p w:rsidR="001B07BB" w:rsidRPr="001B07BB" w:rsidRDefault="00AD5A89" w:rsidP="001B07B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Les autres paramètres ont des effets relativement faibles </w:t>
      </w:r>
    </w:p>
    <w:p w:rsidR="001B07BB" w:rsidRDefault="001B07BB" w:rsidP="00CE7782">
      <w:pPr>
        <w:rPr>
          <w:sz w:val="20"/>
          <w:szCs w:val="20"/>
        </w:rPr>
      </w:pPr>
      <w:r>
        <w:rPr>
          <w:sz w:val="20"/>
          <w:szCs w:val="20"/>
        </w:rPr>
        <w:t xml:space="preserve">On constate également que la pondération logarithmique est très proche de la situation </w:t>
      </w:r>
      <w:r w:rsidR="00B27E06">
        <w:rPr>
          <w:sz w:val="20"/>
          <w:szCs w:val="20"/>
        </w:rPr>
        <w:t xml:space="preserve">sans pondération (moyenne = 0,95 et </w:t>
      </w:r>
      <w:proofErr w:type="spellStart"/>
      <w:r w:rsidR="00B27E06">
        <w:rPr>
          <w:sz w:val="20"/>
          <w:szCs w:val="20"/>
        </w:rPr>
        <w:t>sd</w:t>
      </w:r>
      <w:proofErr w:type="spellEnd"/>
      <w:r w:rsidR="00B27E06">
        <w:rPr>
          <w:sz w:val="20"/>
          <w:szCs w:val="20"/>
        </w:rPr>
        <w:t xml:space="preserve"> = 0,07</w:t>
      </w:r>
      <w:r>
        <w:rPr>
          <w:sz w:val="20"/>
          <w:szCs w:val="20"/>
        </w:rPr>
        <w:t>).</w:t>
      </w:r>
    </w:p>
    <w:p w:rsidR="00947B11" w:rsidRDefault="00947B11" w:rsidP="00CE7782">
      <w:pPr>
        <w:rPr>
          <w:sz w:val="20"/>
          <w:szCs w:val="20"/>
        </w:rPr>
      </w:pPr>
    </w:p>
    <w:p w:rsidR="00947B11" w:rsidRDefault="00947B11" w:rsidP="00947B11">
      <w:pPr>
        <w:pStyle w:val="Paragraphedeliste"/>
        <w:numPr>
          <w:ilvl w:val="0"/>
          <w:numId w:val="1"/>
        </w:numPr>
        <w:rPr>
          <w:b/>
          <w:sz w:val="24"/>
          <w:szCs w:val="20"/>
        </w:rPr>
      </w:pPr>
      <w:r w:rsidRPr="00947B11">
        <w:rPr>
          <w:b/>
          <w:sz w:val="24"/>
          <w:szCs w:val="20"/>
        </w:rPr>
        <w:t>Résultats matrice de corrélation ville</w:t>
      </w:r>
    </w:p>
    <w:p w:rsidR="00947B11" w:rsidRDefault="00947B11" w:rsidP="00947B11">
      <w:pPr>
        <w:pStyle w:val="Lgende"/>
        <w:keepNext/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Nantes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Marseille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Bordeaux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La Rochelle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Bayonne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Rennes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Nantes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9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6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76%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3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34%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Marseille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B7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4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D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-26%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Bordeaux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9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B7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74%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2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58%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7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8%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La Rochelle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6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76%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4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74%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AA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-8%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Bayonne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D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2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58%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AA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5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Rennes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D3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-26%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7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5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</w:tr>
    </w:tbl>
    <w:p w:rsidR="00947B11" w:rsidRDefault="00947B11" w:rsidP="00947B11">
      <w:pPr>
        <w:ind w:left="708" w:firstLine="708"/>
        <w:rPr>
          <w:b/>
          <w:sz w:val="16"/>
        </w:rPr>
      </w:pPr>
      <w:r w:rsidRPr="00947B11">
        <w:rPr>
          <w:b/>
          <w:sz w:val="16"/>
        </w:rPr>
        <w:t xml:space="preserve">Tableau </w:t>
      </w:r>
      <w:r w:rsidRPr="00947B11">
        <w:rPr>
          <w:b/>
          <w:sz w:val="16"/>
        </w:rPr>
        <w:fldChar w:fldCharType="begin"/>
      </w:r>
      <w:r w:rsidRPr="00947B11">
        <w:rPr>
          <w:b/>
          <w:sz w:val="16"/>
        </w:rPr>
        <w:instrText xml:space="preserve"> SEQ Tableau \* ARABIC </w:instrText>
      </w:r>
      <w:r w:rsidRPr="00947B11">
        <w:rPr>
          <w:b/>
          <w:sz w:val="16"/>
        </w:rPr>
        <w:fldChar w:fldCharType="separate"/>
      </w:r>
      <w:r w:rsidRPr="00947B11">
        <w:rPr>
          <w:b/>
          <w:noProof/>
          <w:sz w:val="16"/>
        </w:rPr>
        <w:t>2</w:t>
      </w:r>
      <w:r w:rsidRPr="00947B11">
        <w:rPr>
          <w:b/>
          <w:sz w:val="16"/>
        </w:rPr>
        <w:fldChar w:fldCharType="end"/>
      </w:r>
      <w:r w:rsidRPr="00947B11">
        <w:rPr>
          <w:b/>
          <w:sz w:val="16"/>
        </w:rPr>
        <w:t xml:space="preserve"> Corrélation entre les baselines pour les différents indices d'importation</w:t>
      </w:r>
    </w:p>
    <w:p w:rsidR="00947B11" w:rsidRDefault="00947B11" w:rsidP="00947B11">
      <w:pPr>
        <w:rPr>
          <w:b/>
          <w:sz w:val="16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Nantes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Marseille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Bordeaux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La Rochelle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Bayonne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Rennes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Nantes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743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C7D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23%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B968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A21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-28%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8F51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55%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Marseille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743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A45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BB69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41%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07E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5B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4%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Bordeaux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C7D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23%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7A45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15F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162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63E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-12%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La Rochelle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B968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BB69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41%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15F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E73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56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Bayonne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A21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-28%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07E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162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E73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-46%</w:t>
            </w:r>
          </w:p>
        </w:tc>
      </w:tr>
      <w:tr w:rsidR="00947B11" w:rsidRPr="00947B11" w:rsidTr="00947B1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Rennes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8F51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55%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5B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63E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-12%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56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-46%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947B11" w:rsidRPr="00947B11" w:rsidRDefault="00947B11" w:rsidP="00947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</w:pPr>
            <w:r w:rsidRPr="00947B11">
              <w:rPr>
                <w:rFonts w:ascii="Calibri" w:eastAsia="Times New Roman" w:hAnsi="Calibri" w:cs="Calibri"/>
                <w:color w:val="000000"/>
                <w:sz w:val="18"/>
                <w:lang w:eastAsia="fr-FR"/>
              </w:rPr>
              <w:t>100%</w:t>
            </w:r>
          </w:p>
        </w:tc>
      </w:tr>
    </w:tbl>
    <w:p w:rsidR="00947B11" w:rsidRDefault="00947B11" w:rsidP="00947B11">
      <w:pPr>
        <w:ind w:left="708" w:firstLine="708"/>
        <w:rPr>
          <w:b/>
          <w:sz w:val="16"/>
        </w:rPr>
      </w:pPr>
      <w:r w:rsidRPr="00947B11">
        <w:rPr>
          <w:b/>
          <w:sz w:val="16"/>
        </w:rPr>
        <w:t xml:space="preserve">Tableau </w:t>
      </w:r>
      <w:r>
        <w:rPr>
          <w:b/>
          <w:sz w:val="16"/>
        </w:rPr>
        <w:t>3</w:t>
      </w:r>
      <w:r w:rsidRPr="00947B11">
        <w:rPr>
          <w:b/>
          <w:sz w:val="16"/>
        </w:rPr>
        <w:t xml:space="preserve"> Corrélation entre les baselines pour les différents indices d'</w:t>
      </w:r>
      <w:r>
        <w:rPr>
          <w:b/>
          <w:sz w:val="16"/>
        </w:rPr>
        <w:t>exportation</w:t>
      </w:r>
    </w:p>
    <w:p w:rsidR="00216D1A" w:rsidRDefault="00947B11" w:rsidP="00947B11">
      <w:pPr>
        <w:rPr>
          <w:sz w:val="20"/>
          <w:szCs w:val="20"/>
        </w:rPr>
      </w:pPr>
      <w:r w:rsidRPr="00947B11">
        <w:rPr>
          <w:sz w:val="20"/>
          <w:szCs w:val="20"/>
        </w:rPr>
        <w:t>Pour les indices de corré</w:t>
      </w:r>
      <w:r>
        <w:rPr>
          <w:sz w:val="20"/>
          <w:szCs w:val="20"/>
        </w:rPr>
        <w:t xml:space="preserve">lation entre les différentes villes, les années ne correspondent </w:t>
      </w:r>
      <w:r w:rsidR="00216D1A">
        <w:rPr>
          <w:sz w:val="20"/>
          <w:szCs w:val="20"/>
        </w:rPr>
        <w:t>pas toujours. Le coefficient de corrélation n’est calculé que sur les années que les deux villes ont en commun.</w:t>
      </w:r>
    </w:p>
    <w:p w:rsidR="00216D1A" w:rsidRDefault="00216D1A" w:rsidP="00947B11">
      <w:pPr>
        <w:rPr>
          <w:sz w:val="20"/>
          <w:szCs w:val="20"/>
        </w:rPr>
      </w:pPr>
      <w:r>
        <w:rPr>
          <w:sz w:val="20"/>
          <w:szCs w:val="20"/>
        </w:rPr>
        <w:t>Années de définition de l’indice</w:t>
      </w:r>
      <w:r w:rsidR="00FA6927">
        <w:rPr>
          <w:sz w:val="20"/>
          <w:szCs w:val="20"/>
        </w:rPr>
        <w:t xml:space="preserve"> (Imports)</w:t>
      </w:r>
      <w:r>
        <w:rPr>
          <w:sz w:val="20"/>
          <w:szCs w:val="20"/>
        </w:rPr>
        <w:t> :</w:t>
      </w:r>
    </w:p>
    <w:p w:rsidR="00216D1A" w:rsidRDefault="00216D1A" w:rsidP="00216D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Rennes : 1714 à 1780 excepté de 1715 à 1746, 1748, 1750, 1752, 1770 et 1777.</w:t>
      </w:r>
    </w:p>
    <w:p w:rsidR="00216D1A" w:rsidRDefault="00216D1A" w:rsidP="00216D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Bayonne : 1747 à 1780 excepté </w:t>
      </w:r>
      <w:r>
        <w:rPr>
          <w:sz w:val="20"/>
          <w:szCs w:val="20"/>
        </w:rPr>
        <w:t>1748, 1750, 1752, 1770</w:t>
      </w:r>
      <w:r>
        <w:rPr>
          <w:sz w:val="20"/>
          <w:szCs w:val="20"/>
        </w:rPr>
        <w:t>, 1775</w:t>
      </w:r>
      <w:r>
        <w:rPr>
          <w:sz w:val="20"/>
          <w:szCs w:val="20"/>
        </w:rPr>
        <w:t xml:space="preserve"> et 1777.</w:t>
      </w:r>
    </w:p>
    <w:p w:rsidR="00216D1A" w:rsidRDefault="00216D1A" w:rsidP="00216D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Rochelle : </w:t>
      </w:r>
      <w:r w:rsidR="00A0488C">
        <w:rPr>
          <w:sz w:val="20"/>
          <w:szCs w:val="20"/>
        </w:rPr>
        <w:t>1718 à 1789</w:t>
      </w:r>
      <w:r>
        <w:rPr>
          <w:sz w:val="20"/>
          <w:szCs w:val="20"/>
        </w:rPr>
        <w:t xml:space="preserve"> excepté 17</w:t>
      </w:r>
      <w:r w:rsidR="00A0488C">
        <w:rPr>
          <w:sz w:val="20"/>
          <w:szCs w:val="20"/>
        </w:rPr>
        <w:t>42, 1743, 1745, 1750, 1755, 1763, 1777, 1781 à 1788</w:t>
      </w:r>
      <w:r>
        <w:rPr>
          <w:sz w:val="20"/>
          <w:szCs w:val="20"/>
        </w:rPr>
        <w:t>.</w:t>
      </w:r>
    </w:p>
    <w:p w:rsidR="00A0488C" w:rsidRDefault="00216D1A" w:rsidP="00216D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Nantes : 1730 à 1789 excepté 1733, 1747, 1748, 1750 à 1754, 1757, 1768, 1773, 1</w:t>
      </w:r>
      <w:r w:rsidR="00A0488C">
        <w:rPr>
          <w:sz w:val="20"/>
          <w:szCs w:val="20"/>
        </w:rPr>
        <w:t>777 et 1780 à 17</w:t>
      </w:r>
      <w:r>
        <w:rPr>
          <w:sz w:val="20"/>
          <w:szCs w:val="20"/>
        </w:rPr>
        <w:t>88</w:t>
      </w:r>
      <w:r w:rsidR="00A0488C">
        <w:rPr>
          <w:sz w:val="20"/>
          <w:szCs w:val="20"/>
        </w:rPr>
        <w:t>.</w:t>
      </w:r>
    </w:p>
    <w:p w:rsidR="00216D1A" w:rsidRDefault="00A0488C" w:rsidP="00216D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Marseille : 1725 à 1789 excepté 1734, 1749, 1760, 1781 à 1786 et 1788.</w:t>
      </w:r>
    </w:p>
    <w:p w:rsidR="00A0488C" w:rsidRDefault="00A0488C" w:rsidP="00216D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Bordeaux : 1719 à 1789 excepté 1722, 1727, 1750, 1764, 1779 et 1781 à 1788</w:t>
      </w:r>
      <w:r w:rsidR="000B6DA9">
        <w:rPr>
          <w:sz w:val="20"/>
          <w:szCs w:val="20"/>
        </w:rPr>
        <w:t>.</w:t>
      </w:r>
    </w:p>
    <w:p w:rsidR="00FA6927" w:rsidRDefault="00FA6927" w:rsidP="00FA6927">
      <w:pPr>
        <w:rPr>
          <w:sz w:val="20"/>
          <w:szCs w:val="20"/>
        </w:rPr>
      </w:pPr>
      <w:r>
        <w:rPr>
          <w:sz w:val="20"/>
          <w:szCs w:val="20"/>
        </w:rPr>
        <w:t>Années de définition de l’indice (</w:t>
      </w:r>
      <w:r>
        <w:rPr>
          <w:sz w:val="20"/>
          <w:szCs w:val="20"/>
        </w:rPr>
        <w:t>Exports</w:t>
      </w:r>
      <w:r>
        <w:rPr>
          <w:sz w:val="20"/>
          <w:szCs w:val="20"/>
        </w:rPr>
        <w:t>) :</w:t>
      </w:r>
    </w:p>
    <w:p w:rsidR="00FA6927" w:rsidRDefault="00FA6927" w:rsidP="00FA692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Rennes : 1714 à 1780 excepté de 1715 à 1746, 1748, 1750, 1752, 1770 et 1777.</w:t>
      </w:r>
    </w:p>
    <w:p w:rsidR="00FA6927" w:rsidRDefault="00FA6927" w:rsidP="00FA692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Bayonne :</w:t>
      </w:r>
      <w:r w:rsidR="005A1523">
        <w:rPr>
          <w:sz w:val="20"/>
          <w:szCs w:val="20"/>
        </w:rPr>
        <w:t xml:space="preserve"> 1746 à 1789 excepté</w:t>
      </w:r>
      <w:r>
        <w:rPr>
          <w:sz w:val="20"/>
          <w:szCs w:val="20"/>
        </w:rPr>
        <w:t xml:space="preserve"> 1750</w:t>
      </w:r>
      <w:r w:rsidR="005A1523">
        <w:rPr>
          <w:sz w:val="20"/>
          <w:szCs w:val="20"/>
        </w:rPr>
        <w:t>,</w:t>
      </w:r>
      <w:r>
        <w:rPr>
          <w:sz w:val="20"/>
          <w:szCs w:val="20"/>
        </w:rPr>
        <w:t xml:space="preserve"> 1775</w:t>
      </w:r>
      <w:r w:rsidR="005A1523">
        <w:rPr>
          <w:sz w:val="20"/>
          <w:szCs w:val="20"/>
        </w:rPr>
        <w:t>,</w:t>
      </w:r>
      <w:r>
        <w:rPr>
          <w:sz w:val="20"/>
          <w:szCs w:val="20"/>
        </w:rPr>
        <w:t xml:space="preserve"> 1777</w:t>
      </w:r>
      <w:r w:rsidR="005A1523">
        <w:rPr>
          <w:sz w:val="20"/>
          <w:szCs w:val="20"/>
        </w:rPr>
        <w:t xml:space="preserve"> et 1781 à 1788</w:t>
      </w:r>
      <w:r>
        <w:rPr>
          <w:sz w:val="20"/>
          <w:szCs w:val="20"/>
        </w:rPr>
        <w:t>.</w:t>
      </w:r>
    </w:p>
    <w:p w:rsidR="00FA6927" w:rsidRDefault="00FA6927" w:rsidP="00FA692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 Rochelle : 1718 à 1789 excepté 1742, 1743, 1745, 1750, 1755, 1763,</w:t>
      </w:r>
      <w:r w:rsidR="005A1523">
        <w:rPr>
          <w:sz w:val="20"/>
          <w:szCs w:val="20"/>
        </w:rPr>
        <w:t xml:space="preserve"> 1764,</w:t>
      </w:r>
      <w:r>
        <w:rPr>
          <w:sz w:val="20"/>
          <w:szCs w:val="20"/>
        </w:rPr>
        <w:t xml:space="preserve"> 1777, 1781 à 1788.</w:t>
      </w:r>
    </w:p>
    <w:p w:rsidR="00FA6927" w:rsidRPr="00FA6927" w:rsidRDefault="00FA6927" w:rsidP="00FA692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Nantes :</w:t>
      </w:r>
      <w:r>
        <w:rPr>
          <w:sz w:val="20"/>
          <w:szCs w:val="20"/>
        </w:rPr>
        <w:t xml:space="preserve"> 1728</w:t>
      </w:r>
      <w:r>
        <w:rPr>
          <w:sz w:val="20"/>
          <w:szCs w:val="20"/>
        </w:rPr>
        <w:t xml:space="preserve"> à 1789 excepté </w:t>
      </w:r>
      <w:r>
        <w:rPr>
          <w:sz w:val="20"/>
          <w:szCs w:val="20"/>
        </w:rPr>
        <w:t xml:space="preserve">1729, 1730, </w:t>
      </w:r>
      <w:r>
        <w:rPr>
          <w:sz w:val="20"/>
          <w:szCs w:val="20"/>
        </w:rPr>
        <w:t>1733,</w:t>
      </w:r>
      <w:r>
        <w:rPr>
          <w:sz w:val="20"/>
          <w:szCs w:val="20"/>
        </w:rPr>
        <w:t xml:space="preserve"> 1738, 1747, 1748,</w:t>
      </w:r>
      <w:r w:rsidRPr="00FA6927">
        <w:rPr>
          <w:sz w:val="20"/>
          <w:szCs w:val="20"/>
        </w:rPr>
        <w:t xml:space="preserve"> 1773, 1777 et 1780 à 1788.</w:t>
      </w:r>
    </w:p>
    <w:p w:rsidR="00FA6927" w:rsidRDefault="00FA6927" w:rsidP="00FA692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Marseille : 1725 à 1789 excepté 1734,</w:t>
      </w:r>
      <w:r>
        <w:rPr>
          <w:sz w:val="20"/>
          <w:szCs w:val="20"/>
        </w:rPr>
        <w:t xml:space="preserve"> 1742,  1748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1753, 1754, 1757, 1758, 1771,</w:t>
      </w:r>
      <w:r>
        <w:rPr>
          <w:sz w:val="20"/>
          <w:szCs w:val="20"/>
        </w:rPr>
        <w:t xml:space="preserve"> 1781 à 1788.</w:t>
      </w:r>
    </w:p>
    <w:p w:rsidR="00FA6927" w:rsidRPr="00216D1A" w:rsidRDefault="00FA6927" w:rsidP="00FA692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Bordeaux :</w:t>
      </w:r>
      <w:r>
        <w:rPr>
          <w:sz w:val="20"/>
          <w:szCs w:val="20"/>
        </w:rPr>
        <w:t xml:space="preserve"> 1718</w:t>
      </w:r>
      <w:r>
        <w:rPr>
          <w:sz w:val="20"/>
          <w:szCs w:val="20"/>
        </w:rPr>
        <w:t xml:space="preserve"> à 1789 excepté </w:t>
      </w:r>
      <w:r w:rsidR="005A1523">
        <w:rPr>
          <w:sz w:val="20"/>
          <w:szCs w:val="20"/>
        </w:rPr>
        <w:t xml:space="preserve">1719, </w:t>
      </w:r>
      <w:r>
        <w:rPr>
          <w:sz w:val="20"/>
          <w:szCs w:val="20"/>
        </w:rPr>
        <w:t>1722, 1727,</w:t>
      </w:r>
      <w:r w:rsidR="005A1523">
        <w:rPr>
          <w:sz w:val="20"/>
          <w:szCs w:val="20"/>
        </w:rPr>
        <w:t xml:space="preserve"> 1741, 1750, 1771 et 1779</w:t>
      </w:r>
      <w:r>
        <w:rPr>
          <w:sz w:val="20"/>
          <w:szCs w:val="20"/>
        </w:rPr>
        <w:t xml:space="preserve"> à 1788</w:t>
      </w:r>
      <w:r w:rsidR="000B6DA9">
        <w:rPr>
          <w:sz w:val="20"/>
          <w:szCs w:val="20"/>
        </w:rPr>
        <w:t>.</w:t>
      </w:r>
    </w:p>
    <w:p w:rsidR="00FA6927" w:rsidRDefault="00FA6927" w:rsidP="00FA6927">
      <w:pPr>
        <w:rPr>
          <w:sz w:val="20"/>
          <w:szCs w:val="20"/>
        </w:rPr>
      </w:pPr>
    </w:p>
    <w:p w:rsidR="000B6DA9" w:rsidRPr="000B6DA9" w:rsidRDefault="000B6DA9" w:rsidP="000B6DA9">
      <w:pPr>
        <w:rPr>
          <w:sz w:val="20"/>
          <w:szCs w:val="20"/>
        </w:rPr>
      </w:pPr>
      <w:r w:rsidRPr="000B6DA9">
        <w:rPr>
          <w:sz w:val="20"/>
          <w:szCs w:val="20"/>
        </w:rPr>
        <w:t>Pour les imports :</w:t>
      </w:r>
    </w:p>
    <w:p w:rsidR="000B6DA9" w:rsidRPr="000B6DA9" w:rsidRDefault="000B6DA9" w:rsidP="000B6DA9">
      <w:pPr>
        <w:rPr>
          <w:sz w:val="20"/>
          <w:szCs w:val="20"/>
        </w:rPr>
      </w:pPr>
      <w:r w:rsidRPr="000B6DA9">
        <w:rPr>
          <w:sz w:val="20"/>
          <w:szCs w:val="20"/>
        </w:rPr>
        <w:t xml:space="preserve">Les corrélations sont </w:t>
      </w:r>
      <w:r>
        <w:rPr>
          <w:sz w:val="20"/>
          <w:szCs w:val="20"/>
        </w:rPr>
        <w:t>assez</w:t>
      </w:r>
      <w:r w:rsidRPr="000B6DA9">
        <w:rPr>
          <w:sz w:val="20"/>
          <w:szCs w:val="20"/>
        </w:rPr>
        <w:t xml:space="preserve"> élevées (sauf pour Rennes qui n'est </w:t>
      </w:r>
      <w:r w:rsidR="00770556">
        <w:rPr>
          <w:sz w:val="20"/>
          <w:szCs w:val="20"/>
        </w:rPr>
        <w:t>corrélé avec aucun autre port). Bordeaux, La Rochelle, Nantes et Bayonne (dans une moindre mesure) sont bien</w:t>
      </w:r>
      <w:r w:rsidRPr="000B6DA9">
        <w:rPr>
          <w:sz w:val="20"/>
          <w:szCs w:val="20"/>
        </w:rPr>
        <w:t xml:space="preserve"> corrélé, ce qui </w:t>
      </w:r>
      <w:r w:rsidR="00770556">
        <w:rPr>
          <w:sz w:val="20"/>
          <w:szCs w:val="20"/>
        </w:rPr>
        <w:t>fait ressortir une tendance dans les ports de l’Océan Atlantique</w:t>
      </w:r>
      <w:r w:rsidRPr="000B6DA9">
        <w:rPr>
          <w:sz w:val="20"/>
          <w:szCs w:val="20"/>
        </w:rPr>
        <w:t>. Marseille est plus à l'écart (même si</w:t>
      </w:r>
      <w:r w:rsidR="00770556">
        <w:rPr>
          <w:sz w:val="20"/>
          <w:szCs w:val="20"/>
        </w:rPr>
        <w:t xml:space="preserve"> un peu corrélé avec Bordeaux).</w:t>
      </w:r>
    </w:p>
    <w:p w:rsidR="000B6DA9" w:rsidRPr="000B6DA9" w:rsidRDefault="000B6DA9" w:rsidP="000B6DA9">
      <w:pPr>
        <w:rPr>
          <w:sz w:val="20"/>
          <w:szCs w:val="20"/>
        </w:rPr>
      </w:pPr>
      <w:r w:rsidRPr="000B6DA9">
        <w:rPr>
          <w:sz w:val="20"/>
          <w:szCs w:val="20"/>
        </w:rPr>
        <w:t>Pour les exports :</w:t>
      </w:r>
    </w:p>
    <w:p w:rsidR="000B6DA9" w:rsidRPr="000B6DA9" w:rsidRDefault="000B6DA9" w:rsidP="000B6DA9">
      <w:pPr>
        <w:rPr>
          <w:sz w:val="20"/>
          <w:szCs w:val="20"/>
        </w:rPr>
      </w:pPr>
      <w:r w:rsidRPr="000B6DA9">
        <w:rPr>
          <w:sz w:val="20"/>
          <w:szCs w:val="20"/>
        </w:rPr>
        <w:t>Pas de groupement comme pour les Imports. Nantes est corrélé avec Rennes et Marseille. Marseille est corrélé avec Bordeaux et on ne peut pas vraiment dire autre chose.</w:t>
      </w:r>
    </w:p>
    <w:p w:rsidR="000B6DA9" w:rsidRPr="000B6DA9" w:rsidRDefault="000B6DA9" w:rsidP="000B6DA9">
      <w:pPr>
        <w:rPr>
          <w:sz w:val="20"/>
          <w:szCs w:val="20"/>
        </w:rPr>
      </w:pPr>
    </w:p>
    <w:p w:rsidR="000B6DA9" w:rsidRPr="00FA6927" w:rsidRDefault="00770556" w:rsidP="000B6DA9">
      <w:pPr>
        <w:rPr>
          <w:sz w:val="20"/>
          <w:szCs w:val="20"/>
        </w:rPr>
      </w:pPr>
      <w:r>
        <w:rPr>
          <w:sz w:val="20"/>
          <w:szCs w:val="20"/>
        </w:rPr>
        <w:t>Explication possible :</w:t>
      </w:r>
      <w:r w:rsidR="000B6DA9" w:rsidRPr="000B6DA9">
        <w:rPr>
          <w:sz w:val="20"/>
          <w:szCs w:val="20"/>
        </w:rPr>
        <w:t xml:space="preserve"> pour les imports, on a des produits qui viennent de loin et qui sont comparables dans des ports à proximité. Pour les exports, les ports ont tendance à vendre des produits régionaux (exemple de Bordeaux et du vin qui a une place très importante dans le commerce), ce qui complique la comparaison</w:t>
      </w:r>
      <w:r>
        <w:rPr>
          <w:sz w:val="20"/>
          <w:szCs w:val="20"/>
        </w:rPr>
        <w:t xml:space="preserve"> des indices entre les différents ports</w:t>
      </w:r>
      <w:r w:rsidR="000B6DA9" w:rsidRPr="000B6DA9">
        <w:rPr>
          <w:sz w:val="20"/>
          <w:szCs w:val="20"/>
        </w:rPr>
        <w:t>.</w:t>
      </w:r>
      <w:bookmarkStart w:id="0" w:name="_GoBack"/>
      <w:bookmarkEnd w:id="0"/>
    </w:p>
    <w:sectPr w:rsidR="000B6DA9" w:rsidRPr="00FA6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A33F8"/>
    <w:multiLevelType w:val="hybridMultilevel"/>
    <w:tmpl w:val="AF6C3E40"/>
    <w:lvl w:ilvl="0" w:tplc="C9BCA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6311A"/>
    <w:multiLevelType w:val="hybridMultilevel"/>
    <w:tmpl w:val="19845C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82"/>
    <w:rsid w:val="000B6DA9"/>
    <w:rsid w:val="001B07BB"/>
    <w:rsid w:val="00214053"/>
    <w:rsid w:val="00216D1A"/>
    <w:rsid w:val="004128AA"/>
    <w:rsid w:val="00471517"/>
    <w:rsid w:val="005A1523"/>
    <w:rsid w:val="00752D6D"/>
    <w:rsid w:val="00770556"/>
    <w:rsid w:val="00825F4B"/>
    <w:rsid w:val="00947B11"/>
    <w:rsid w:val="00A01E42"/>
    <w:rsid w:val="00A0488C"/>
    <w:rsid w:val="00AD5A89"/>
    <w:rsid w:val="00B27E06"/>
    <w:rsid w:val="00B31CCE"/>
    <w:rsid w:val="00CE7782"/>
    <w:rsid w:val="00E453B8"/>
    <w:rsid w:val="00E80D76"/>
    <w:rsid w:val="00F752E7"/>
    <w:rsid w:val="00FA6927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0D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0D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 Pignede</dc:creator>
  <cp:lastModifiedBy>Edouard Pignede</cp:lastModifiedBy>
  <cp:revision>9</cp:revision>
  <dcterms:created xsi:type="dcterms:W3CDTF">2021-04-09T08:19:00Z</dcterms:created>
  <dcterms:modified xsi:type="dcterms:W3CDTF">2021-04-19T09:02:00Z</dcterms:modified>
</cp:coreProperties>
</file>