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BA2A4B" w14:textId="77777777" w:rsidR="00325D21" w:rsidRDefault="00087C68" w:rsidP="00087C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b/>
          <w:bCs/>
          <w:sz w:val="24"/>
          <w:szCs w:val="24"/>
        </w:rPr>
      </w:pPr>
      <w:r>
        <w:rPr>
          <w:rFonts w:cstheme="minorHAnsi"/>
          <w:b/>
          <w:bCs/>
          <w:sz w:val="24"/>
          <w:szCs w:val="24"/>
        </w:rPr>
        <w:t>I</w:t>
      </w:r>
      <w:r w:rsidRPr="00087C68">
        <w:rPr>
          <w:rFonts w:cstheme="minorHAnsi"/>
          <w:b/>
          <w:bCs/>
          <w:sz w:val="24"/>
          <w:szCs w:val="24"/>
        </w:rPr>
        <w:t>ndices de prix calculés avec les effets fixes selon la méthode des ventes répétées</w:t>
      </w:r>
    </w:p>
    <w:p w14:paraId="7F821D8F" w14:textId="4DEC4ECB" w:rsidR="002420A6" w:rsidRPr="002420A6" w:rsidRDefault="002420A6" w:rsidP="00087C68">
      <w:pPr>
        <w:rPr>
          <w:rFonts w:cstheme="minorHAnsi"/>
          <w:b/>
          <w:bCs/>
        </w:rPr>
      </w:pPr>
      <w:r w:rsidRPr="002420A6">
        <w:rPr>
          <w:rFonts w:cstheme="minorHAnsi"/>
          <w:b/>
          <w:bCs/>
        </w:rPr>
        <w:t xml:space="preserve">Remarque : </w:t>
      </w:r>
      <w:r w:rsidR="00143778">
        <w:rPr>
          <w:rFonts w:cstheme="minorHAnsi"/>
          <w:b/>
          <w:bCs/>
        </w:rPr>
        <w:t>avec</w:t>
      </w:r>
      <w:r w:rsidRPr="002420A6">
        <w:rPr>
          <w:rFonts w:cstheme="minorHAnsi"/>
          <w:b/>
          <w:bCs/>
        </w:rPr>
        <w:t xml:space="preserve"> correction d’hétéroscédasticité</w:t>
      </w:r>
    </w:p>
    <w:p w14:paraId="7B87113D" w14:textId="77777777" w:rsidR="00087C68" w:rsidRDefault="00087C68" w:rsidP="00087C68">
      <w:pPr>
        <w:autoSpaceDE w:val="0"/>
        <w:autoSpaceDN w:val="0"/>
        <w:adjustRightInd w:val="0"/>
        <w:spacing w:after="0" w:line="240" w:lineRule="auto"/>
        <w:jc w:val="both"/>
        <w:rPr>
          <w:rFonts w:cstheme="minorHAnsi"/>
        </w:rPr>
      </w:pPr>
      <w:r w:rsidRPr="00087C68">
        <w:rPr>
          <w:rFonts w:cstheme="minorHAnsi"/>
          <w:i/>
          <w:iCs/>
        </w:rPr>
        <w:t>Méthode utilisée</w:t>
      </w:r>
      <w:r w:rsidRPr="00087C68">
        <w:rPr>
          <w:rFonts w:cstheme="minorHAnsi"/>
        </w:rPr>
        <w:t> : Un autre mode de calcul permet d’obtenir les indices de prix des marchandises échangées. Par la méthode des ventes répétées, le calcul des effets fixes permet d’obtenir la courbe d’indices de prix.</w:t>
      </w:r>
    </w:p>
    <w:p w14:paraId="07AD49F3" w14:textId="77777777" w:rsidR="00087C68" w:rsidRDefault="00087C68" w:rsidP="00087C68">
      <w:pPr>
        <w:autoSpaceDE w:val="0"/>
        <w:autoSpaceDN w:val="0"/>
        <w:adjustRightInd w:val="0"/>
        <w:spacing w:after="0" w:line="240" w:lineRule="auto"/>
        <w:jc w:val="both"/>
        <w:rPr>
          <w:rFonts w:cstheme="minorHAnsi"/>
        </w:rPr>
      </w:pPr>
    </w:p>
    <w:p w14:paraId="1DFA9B43" w14:textId="21DD2F50" w:rsidR="00087C68" w:rsidRPr="00087C68" w:rsidRDefault="00087C68" w:rsidP="00087C68">
      <w:pPr>
        <w:autoSpaceDE w:val="0"/>
        <w:autoSpaceDN w:val="0"/>
        <w:adjustRightInd w:val="0"/>
        <w:spacing w:after="0" w:line="240" w:lineRule="auto"/>
        <w:jc w:val="both"/>
        <w:rPr>
          <w:rFonts w:cstheme="minorHAnsi"/>
        </w:rPr>
      </w:pPr>
      <w:r w:rsidRPr="00087C68">
        <w:rPr>
          <w:rFonts w:cstheme="minorHAnsi"/>
        </w:rPr>
        <w:t>Graphique : L’indice de valeur est calculé en faisant l’indice de la valeur totale échangée par année et représenté par la courbe rouge. Les indices de prix sont représentés par la courbe bleue.</w:t>
      </w:r>
    </w:p>
    <w:p w14:paraId="322324B8" w14:textId="77777777" w:rsidR="00087C68" w:rsidRPr="00087C68" w:rsidRDefault="00087C68" w:rsidP="00087C68">
      <w:pPr>
        <w:autoSpaceDE w:val="0"/>
        <w:autoSpaceDN w:val="0"/>
        <w:adjustRightInd w:val="0"/>
        <w:spacing w:after="0" w:line="240" w:lineRule="auto"/>
        <w:jc w:val="both"/>
        <w:rPr>
          <w:rFonts w:cstheme="minorHAnsi"/>
          <w:b/>
          <w:bCs/>
        </w:rPr>
      </w:pPr>
    </w:p>
    <w:p w14:paraId="09447659" w14:textId="6F97FE48" w:rsidR="00087C68" w:rsidRDefault="00087C68" w:rsidP="00087C68">
      <w:pPr>
        <w:autoSpaceDE w:val="0"/>
        <w:autoSpaceDN w:val="0"/>
        <w:adjustRightInd w:val="0"/>
        <w:spacing w:after="0" w:line="240" w:lineRule="auto"/>
        <w:jc w:val="both"/>
        <w:rPr>
          <w:rFonts w:cstheme="minorHAnsi"/>
          <w:color w:val="0070C0"/>
          <w:sz w:val="24"/>
          <w:szCs w:val="24"/>
        </w:rPr>
      </w:pPr>
      <w:r w:rsidRPr="00087C68">
        <w:rPr>
          <w:rFonts w:cstheme="minorHAnsi"/>
          <w:color w:val="0070C0"/>
          <w:sz w:val="24"/>
          <w:szCs w:val="24"/>
        </w:rPr>
        <w:t xml:space="preserve">Bayonne : </w:t>
      </w:r>
    </w:p>
    <w:p w14:paraId="35030233" w14:textId="7682B9DE" w:rsidR="00AF106E" w:rsidRPr="00087C68" w:rsidRDefault="00AF106E" w:rsidP="00087C68">
      <w:pPr>
        <w:autoSpaceDE w:val="0"/>
        <w:autoSpaceDN w:val="0"/>
        <w:adjustRightInd w:val="0"/>
        <w:spacing w:after="0" w:line="240" w:lineRule="auto"/>
        <w:jc w:val="both"/>
        <w:rPr>
          <w:rFonts w:cstheme="minorHAnsi"/>
          <w:color w:val="0070C0"/>
          <w:sz w:val="24"/>
          <w:szCs w:val="24"/>
        </w:rPr>
      </w:pPr>
      <w:r>
        <w:rPr>
          <w:rFonts w:cstheme="minorHAnsi"/>
          <w:color w:val="0070C0"/>
          <w:sz w:val="24"/>
          <w:szCs w:val="24"/>
        </w:rPr>
        <w:object w:dxaOrig="3960" w:dyaOrig="2880" w14:anchorId="0EBBC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25pt;height:163.65pt" o:ole="">
            <v:imagedata r:id="rId7" o:title=""/>
          </v:shape>
          <o:OLEObject Type="Embed" ProgID="AcroExch.Document.DC" ShapeID="_x0000_i1025" DrawAspect="Content" ObjectID="_1644397654" r:id="rId8"/>
        </w:object>
      </w:r>
      <w:r>
        <w:rPr>
          <w:rFonts w:cstheme="minorHAnsi"/>
          <w:color w:val="0070C0"/>
          <w:sz w:val="24"/>
          <w:szCs w:val="24"/>
        </w:rPr>
        <w:object w:dxaOrig="3960" w:dyaOrig="2880" w14:anchorId="0884D36F">
          <v:shape id="_x0000_i1026" type="#_x0000_t75" style="width:224.2pt;height:163.1pt" o:ole="">
            <v:imagedata r:id="rId9" o:title=""/>
          </v:shape>
          <o:OLEObject Type="Embed" ProgID="AcroExch.Document.DC" ShapeID="_x0000_i1026" DrawAspect="Content" ObjectID="_1644397655" r:id="rId10"/>
        </w:object>
      </w:r>
    </w:p>
    <w:p w14:paraId="2B3AB45E" w14:textId="10217FA0" w:rsidR="00087C68" w:rsidRDefault="00087C68" w:rsidP="00087C68">
      <w:pPr>
        <w:autoSpaceDE w:val="0"/>
        <w:autoSpaceDN w:val="0"/>
        <w:adjustRightInd w:val="0"/>
        <w:spacing w:after="0" w:line="240" w:lineRule="auto"/>
        <w:jc w:val="both"/>
        <w:rPr>
          <w:rFonts w:cstheme="minorHAnsi"/>
          <w:color w:val="0070C0"/>
          <w:sz w:val="24"/>
          <w:szCs w:val="24"/>
        </w:rPr>
      </w:pPr>
      <w:r w:rsidRPr="00087C68">
        <w:rPr>
          <w:rFonts w:cstheme="minorHAnsi"/>
          <w:color w:val="0070C0"/>
          <w:sz w:val="24"/>
          <w:szCs w:val="24"/>
        </w:rPr>
        <w:t xml:space="preserve">Bordeaux : </w:t>
      </w:r>
    </w:p>
    <w:p w14:paraId="7029C7E8" w14:textId="037800B3" w:rsidR="00AF106E" w:rsidRDefault="00AF106E" w:rsidP="00087C68">
      <w:pPr>
        <w:autoSpaceDE w:val="0"/>
        <w:autoSpaceDN w:val="0"/>
        <w:adjustRightInd w:val="0"/>
        <w:spacing w:after="0" w:line="240" w:lineRule="auto"/>
        <w:jc w:val="both"/>
        <w:rPr>
          <w:rFonts w:cstheme="minorHAnsi"/>
          <w:color w:val="0070C0"/>
          <w:sz w:val="24"/>
          <w:szCs w:val="24"/>
        </w:rPr>
      </w:pPr>
      <w:r>
        <w:rPr>
          <w:rFonts w:cstheme="minorHAnsi"/>
          <w:color w:val="0070C0"/>
          <w:sz w:val="24"/>
          <w:szCs w:val="24"/>
        </w:rPr>
        <w:object w:dxaOrig="3960" w:dyaOrig="2880" w14:anchorId="61D5D862">
          <v:shape id="_x0000_i1027" type="#_x0000_t75" style="width:224.2pt;height:163.1pt" o:ole="">
            <v:imagedata r:id="rId11" o:title=""/>
          </v:shape>
          <o:OLEObject Type="Embed" ProgID="AcroExch.Document.DC" ShapeID="_x0000_i1027" DrawAspect="Content" ObjectID="_1644397656" r:id="rId12"/>
        </w:object>
      </w:r>
      <w:r>
        <w:rPr>
          <w:rFonts w:cstheme="minorHAnsi"/>
          <w:color w:val="0070C0"/>
          <w:sz w:val="24"/>
          <w:szCs w:val="24"/>
        </w:rPr>
        <w:object w:dxaOrig="3960" w:dyaOrig="2880" w14:anchorId="2A6F75C3">
          <v:shape id="_x0000_i1028" type="#_x0000_t75" style="width:224.75pt;height:163.1pt" o:ole="">
            <v:imagedata r:id="rId13" o:title=""/>
          </v:shape>
          <o:OLEObject Type="Embed" ProgID="AcroExch.Document.DC" ShapeID="_x0000_i1028" DrawAspect="Content" ObjectID="_1644397657" r:id="rId14"/>
        </w:object>
      </w:r>
    </w:p>
    <w:p w14:paraId="01BC7CD8" w14:textId="4D1A5ED9" w:rsidR="00BF063B" w:rsidRDefault="00BF063B" w:rsidP="00087C68">
      <w:pPr>
        <w:autoSpaceDE w:val="0"/>
        <w:autoSpaceDN w:val="0"/>
        <w:adjustRightInd w:val="0"/>
        <w:spacing w:after="0" w:line="240" w:lineRule="auto"/>
        <w:jc w:val="both"/>
        <w:rPr>
          <w:rFonts w:cstheme="minorHAnsi"/>
        </w:rPr>
      </w:pPr>
      <w:r w:rsidRPr="00BF063B">
        <w:rPr>
          <w:rFonts w:cstheme="minorHAnsi"/>
        </w:rPr>
        <w:t>Indice exports : 1747</w:t>
      </w:r>
      <w:r>
        <w:rPr>
          <w:rFonts w:cstheme="minorHAnsi"/>
        </w:rPr>
        <w:t xml:space="preserve"> =&gt; Farine : prix unitaire à 0,14 // </w:t>
      </w:r>
      <w:proofErr w:type="spellStart"/>
      <w:r>
        <w:rPr>
          <w:rFonts w:cstheme="minorHAnsi"/>
        </w:rPr>
        <w:t>qtt</w:t>
      </w:r>
      <w:proofErr w:type="spellEnd"/>
      <w:r>
        <w:rPr>
          <w:rFonts w:cstheme="minorHAnsi"/>
        </w:rPr>
        <w:t xml:space="preserve"> : </w:t>
      </w:r>
      <w:r w:rsidR="00D2189D">
        <w:rPr>
          <w:rFonts w:cstheme="minorHAnsi"/>
        </w:rPr>
        <w:t>729 844</w:t>
      </w:r>
      <w:r w:rsidR="00CD0842">
        <w:rPr>
          <w:rFonts w:cstheme="minorHAnsi"/>
        </w:rPr>
        <w:t xml:space="preserve"> </w:t>
      </w:r>
      <w:r>
        <w:rPr>
          <w:rFonts w:cstheme="minorHAnsi"/>
        </w:rPr>
        <w:t xml:space="preserve">/// </w:t>
      </w:r>
      <w:proofErr w:type="spellStart"/>
      <w:r>
        <w:rPr>
          <w:rFonts w:cstheme="minorHAnsi"/>
        </w:rPr>
        <w:t>u_conv</w:t>
      </w:r>
      <w:proofErr w:type="spellEnd"/>
      <w:r>
        <w:rPr>
          <w:rFonts w:cstheme="minorHAnsi"/>
        </w:rPr>
        <w:t> : kg</w:t>
      </w:r>
    </w:p>
    <w:p w14:paraId="4B5B0A92" w14:textId="4F045A7A" w:rsidR="00BF063B" w:rsidRDefault="00CD0842" w:rsidP="00087C68">
      <w:pPr>
        <w:autoSpaceDE w:val="0"/>
        <w:autoSpaceDN w:val="0"/>
        <w:adjustRightInd w:val="0"/>
        <w:spacing w:after="0" w:line="240" w:lineRule="auto"/>
        <w:jc w:val="both"/>
        <w:rPr>
          <w:rFonts w:cstheme="minorHAnsi"/>
        </w:rPr>
      </w:pPr>
      <w:r>
        <w:rPr>
          <w:rFonts w:cstheme="minorHAnsi"/>
        </w:rPr>
        <w:t>Remarque : Dans l’échantillon les quantités exportées moyennes de farine sont de 2 248 119 kg (</w:t>
      </w:r>
      <w:proofErr w:type="spellStart"/>
      <w:r>
        <w:rPr>
          <w:rFonts w:cstheme="minorHAnsi"/>
        </w:rPr>
        <w:t>median</w:t>
      </w:r>
      <w:proofErr w:type="spellEnd"/>
      <w:r>
        <w:rPr>
          <w:rFonts w:cstheme="minorHAnsi"/>
        </w:rPr>
        <w:t>=792 802kg) et le prix unitaire moyen est de 0,66 (</w:t>
      </w:r>
      <w:proofErr w:type="spellStart"/>
      <w:r>
        <w:rPr>
          <w:rFonts w:cstheme="minorHAnsi"/>
        </w:rPr>
        <w:t>median</w:t>
      </w:r>
      <w:proofErr w:type="spellEnd"/>
      <w:r>
        <w:rPr>
          <w:rFonts w:cstheme="minorHAnsi"/>
        </w:rPr>
        <w:t>=0,33)</w:t>
      </w:r>
    </w:p>
    <w:p w14:paraId="31498B71" w14:textId="6D773CA6" w:rsidR="00CD0842" w:rsidRDefault="00CD0842" w:rsidP="00087C68">
      <w:pPr>
        <w:autoSpaceDE w:val="0"/>
        <w:autoSpaceDN w:val="0"/>
        <w:adjustRightInd w:val="0"/>
        <w:spacing w:after="0" w:line="240" w:lineRule="auto"/>
        <w:jc w:val="both"/>
        <w:rPr>
          <w:rFonts w:cstheme="minorHAnsi"/>
        </w:rPr>
      </w:pPr>
    </w:p>
    <w:p w14:paraId="03B3ADA7" w14:textId="1E5D063B" w:rsidR="00087C68" w:rsidRDefault="00087C68" w:rsidP="00087C68">
      <w:pPr>
        <w:autoSpaceDE w:val="0"/>
        <w:autoSpaceDN w:val="0"/>
        <w:adjustRightInd w:val="0"/>
        <w:spacing w:after="0" w:line="240" w:lineRule="auto"/>
        <w:jc w:val="both"/>
        <w:rPr>
          <w:rFonts w:cstheme="minorHAnsi"/>
          <w:color w:val="0070C0"/>
          <w:sz w:val="24"/>
          <w:szCs w:val="24"/>
        </w:rPr>
      </w:pPr>
      <w:r w:rsidRPr="00087C68">
        <w:rPr>
          <w:rFonts w:cstheme="minorHAnsi"/>
          <w:color w:val="0070C0"/>
          <w:sz w:val="24"/>
          <w:szCs w:val="24"/>
        </w:rPr>
        <w:t xml:space="preserve">La Rochelle : </w:t>
      </w:r>
    </w:p>
    <w:p w14:paraId="4BD16230" w14:textId="77777777" w:rsidR="00BF063B" w:rsidRDefault="00AF106E" w:rsidP="00087C68">
      <w:pPr>
        <w:autoSpaceDE w:val="0"/>
        <w:autoSpaceDN w:val="0"/>
        <w:adjustRightInd w:val="0"/>
        <w:spacing w:after="0" w:line="240" w:lineRule="auto"/>
        <w:jc w:val="both"/>
        <w:rPr>
          <w:rFonts w:cstheme="minorHAnsi"/>
          <w:color w:val="0070C0"/>
          <w:sz w:val="24"/>
          <w:szCs w:val="24"/>
        </w:rPr>
      </w:pPr>
      <w:r>
        <w:rPr>
          <w:rFonts w:cstheme="minorHAnsi"/>
          <w:color w:val="0070C0"/>
          <w:sz w:val="24"/>
          <w:szCs w:val="24"/>
        </w:rPr>
        <w:object w:dxaOrig="3960" w:dyaOrig="2880" w14:anchorId="20585F63">
          <v:shape id="_x0000_i1029" type="#_x0000_t75" style="width:225.25pt;height:163.65pt" o:ole="">
            <v:imagedata r:id="rId15" o:title=""/>
          </v:shape>
          <o:OLEObject Type="Embed" ProgID="AcroExch.Document.DC" ShapeID="_x0000_i1029" DrawAspect="Content" ObjectID="_1644397658" r:id="rId16"/>
        </w:object>
      </w:r>
      <w:r>
        <w:rPr>
          <w:rFonts w:cstheme="minorHAnsi"/>
          <w:color w:val="0070C0"/>
          <w:sz w:val="24"/>
          <w:szCs w:val="24"/>
        </w:rPr>
        <w:object w:dxaOrig="3960" w:dyaOrig="2880" w14:anchorId="2BE56F69">
          <v:shape id="_x0000_i1030" type="#_x0000_t75" style="width:224.75pt;height:163.1pt" o:ole="">
            <v:imagedata r:id="rId17" o:title=""/>
          </v:shape>
          <o:OLEObject Type="Embed" ProgID="AcroExch.Document.DC" ShapeID="_x0000_i1030" DrawAspect="Content" ObjectID="_1644397659" r:id="rId18"/>
        </w:object>
      </w:r>
    </w:p>
    <w:p w14:paraId="1F1989EE" w14:textId="4A2D6D92" w:rsidR="00087C68" w:rsidRDefault="00087C68" w:rsidP="00087C68">
      <w:pPr>
        <w:autoSpaceDE w:val="0"/>
        <w:autoSpaceDN w:val="0"/>
        <w:adjustRightInd w:val="0"/>
        <w:spacing w:after="0" w:line="240" w:lineRule="auto"/>
        <w:jc w:val="both"/>
        <w:rPr>
          <w:rFonts w:cstheme="minorHAnsi"/>
          <w:color w:val="0070C0"/>
          <w:sz w:val="24"/>
          <w:szCs w:val="24"/>
        </w:rPr>
      </w:pPr>
      <w:r w:rsidRPr="00087C68">
        <w:rPr>
          <w:rFonts w:cstheme="minorHAnsi"/>
          <w:color w:val="0070C0"/>
          <w:sz w:val="24"/>
          <w:szCs w:val="24"/>
        </w:rPr>
        <w:t>Marseille :</w:t>
      </w:r>
    </w:p>
    <w:p w14:paraId="3C69B3A4" w14:textId="3AB0B7B6" w:rsidR="00AF106E" w:rsidRDefault="00AF106E" w:rsidP="00087C68">
      <w:pPr>
        <w:autoSpaceDE w:val="0"/>
        <w:autoSpaceDN w:val="0"/>
        <w:adjustRightInd w:val="0"/>
        <w:spacing w:after="0" w:line="240" w:lineRule="auto"/>
        <w:jc w:val="both"/>
        <w:rPr>
          <w:rFonts w:cstheme="minorHAnsi"/>
          <w:color w:val="0070C0"/>
          <w:sz w:val="24"/>
          <w:szCs w:val="24"/>
        </w:rPr>
      </w:pPr>
      <w:r>
        <w:rPr>
          <w:rFonts w:cstheme="minorHAnsi"/>
          <w:color w:val="0070C0"/>
          <w:sz w:val="24"/>
          <w:szCs w:val="24"/>
        </w:rPr>
        <w:object w:dxaOrig="3960" w:dyaOrig="2880" w14:anchorId="730FEFB8">
          <v:shape id="_x0000_i1031" type="#_x0000_t75" style="width:224.2pt;height:163.1pt" o:ole="">
            <v:imagedata r:id="rId19" o:title=""/>
          </v:shape>
          <o:OLEObject Type="Embed" ProgID="AcroExch.Document.DC" ShapeID="_x0000_i1031" DrawAspect="Content" ObjectID="_1644397660" r:id="rId20"/>
        </w:object>
      </w:r>
      <w:r>
        <w:rPr>
          <w:rFonts w:cstheme="minorHAnsi"/>
          <w:color w:val="0070C0"/>
          <w:sz w:val="24"/>
          <w:szCs w:val="24"/>
        </w:rPr>
        <w:object w:dxaOrig="3960" w:dyaOrig="2880" w14:anchorId="7E99973D">
          <v:shape id="_x0000_i1032" type="#_x0000_t75" style="width:223.65pt;height:163.1pt" o:ole="">
            <v:imagedata r:id="rId21" o:title=""/>
          </v:shape>
          <o:OLEObject Type="Embed" ProgID="AcroExch.Document.DC" ShapeID="_x0000_i1032" DrawAspect="Content" ObjectID="_1644397661" r:id="rId22"/>
        </w:object>
      </w:r>
    </w:p>
    <w:p w14:paraId="288486A7" w14:textId="28469566" w:rsidR="00BF063B" w:rsidRDefault="00BF063B" w:rsidP="00087C68">
      <w:pPr>
        <w:autoSpaceDE w:val="0"/>
        <w:autoSpaceDN w:val="0"/>
        <w:adjustRightInd w:val="0"/>
        <w:spacing w:after="0" w:line="240" w:lineRule="auto"/>
        <w:jc w:val="both"/>
        <w:rPr>
          <w:rFonts w:cstheme="minorHAnsi"/>
        </w:rPr>
      </w:pPr>
      <w:r w:rsidRPr="00BF063B">
        <w:rPr>
          <w:rFonts w:cstheme="minorHAnsi"/>
        </w:rPr>
        <w:t>Indice exports : 1762 =&gt; Liqueurs : 12 // 1739 // contenant (caisses)</w:t>
      </w:r>
    </w:p>
    <w:p w14:paraId="36DE44A5" w14:textId="25F1CB12" w:rsidR="00870D58" w:rsidRPr="00BF063B" w:rsidRDefault="00870D58" w:rsidP="00087C68">
      <w:pPr>
        <w:autoSpaceDE w:val="0"/>
        <w:autoSpaceDN w:val="0"/>
        <w:adjustRightInd w:val="0"/>
        <w:spacing w:after="0" w:line="240" w:lineRule="auto"/>
        <w:jc w:val="both"/>
        <w:rPr>
          <w:rFonts w:cstheme="minorHAnsi"/>
        </w:rPr>
      </w:pPr>
      <w:r>
        <w:rPr>
          <w:rFonts w:cstheme="minorHAnsi"/>
        </w:rPr>
        <w:t>Remarque : prix unitaire passe de 1,53 à 12 du fait que la quantité soit exprimée en caisses.</w:t>
      </w:r>
    </w:p>
    <w:p w14:paraId="3669CFC7" w14:textId="5FDE5EF4" w:rsidR="00BF063B" w:rsidRPr="00BF063B" w:rsidRDefault="00BF063B" w:rsidP="00087C68">
      <w:pPr>
        <w:autoSpaceDE w:val="0"/>
        <w:autoSpaceDN w:val="0"/>
        <w:adjustRightInd w:val="0"/>
        <w:spacing w:after="0" w:line="240" w:lineRule="auto"/>
        <w:jc w:val="both"/>
        <w:rPr>
          <w:rFonts w:cstheme="minorHAnsi"/>
        </w:rPr>
      </w:pPr>
      <w:r w:rsidRPr="00BF063B">
        <w:rPr>
          <w:rFonts w:cstheme="minorHAnsi"/>
        </w:rPr>
        <w:t>Indice imports : 1759 =&gt;</w:t>
      </w:r>
      <w:r>
        <w:rPr>
          <w:rFonts w:cstheme="minorHAnsi"/>
        </w:rPr>
        <w:t xml:space="preserve"> Barres de fer : 0,12 // 2718 // kg</w:t>
      </w:r>
    </w:p>
    <w:p w14:paraId="68C00736" w14:textId="77777777" w:rsidR="00BF063B" w:rsidRPr="00087C68" w:rsidRDefault="00BF063B" w:rsidP="00087C68">
      <w:pPr>
        <w:autoSpaceDE w:val="0"/>
        <w:autoSpaceDN w:val="0"/>
        <w:adjustRightInd w:val="0"/>
        <w:spacing w:after="0" w:line="240" w:lineRule="auto"/>
        <w:jc w:val="both"/>
        <w:rPr>
          <w:rFonts w:cstheme="minorHAnsi"/>
          <w:color w:val="0070C0"/>
          <w:sz w:val="24"/>
          <w:szCs w:val="24"/>
        </w:rPr>
      </w:pPr>
    </w:p>
    <w:p w14:paraId="28518560" w14:textId="1F7D0995" w:rsidR="00087C68" w:rsidRDefault="00087C68" w:rsidP="00087C68">
      <w:pPr>
        <w:autoSpaceDE w:val="0"/>
        <w:autoSpaceDN w:val="0"/>
        <w:adjustRightInd w:val="0"/>
        <w:spacing w:after="0" w:line="240" w:lineRule="auto"/>
        <w:jc w:val="both"/>
        <w:rPr>
          <w:rFonts w:cstheme="minorHAnsi"/>
          <w:color w:val="0070C0"/>
          <w:sz w:val="24"/>
          <w:szCs w:val="24"/>
        </w:rPr>
      </w:pPr>
      <w:r w:rsidRPr="00087C68">
        <w:rPr>
          <w:rFonts w:cstheme="minorHAnsi"/>
          <w:color w:val="0070C0"/>
          <w:sz w:val="24"/>
          <w:szCs w:val="24"/>
        </w:rPr>
        <w:t xml:space="preserve">Nantes : </w:t>
      </w:r>
    </w:p>
    <w:p w14:paraId="6E321F02" w14:textId="49D19C59" w:rsidR="00066E27" w:rsidRDefault="00AF106E" w:rsidP="00087C68">
      <w:pPr>
        <w:autoSpaceDE w:val="0"/>
        <w:autoSpaceDN w:val="0"/>
        <w:adjustRightInd w:val="0"/>
        <w:spacing w:after="0" w:line="240" w:lineRule="auto"/>
        <w:jc w:val="both"/>
        <w:rPr>
          <w:rFonts w:cstheme="minorHAnsi"/>
          <w:color w:val="0070C0"/>
          <w:sz w:val="24"/>
          <w:szCs w:val="24"/>
        </w:rPr>
      </w:pPr>
      <w:r>
        <w:rPr>
          <w:rFonts w:cstheme="minorHAnsi"/>
          <w:color w:val="0070C0"/>
          <w:sz w:val="24"/>
          <w:szCs w:val="24"/>
        </w:rPr>
        <w:object w:dxaOrig="3960" w:dyaOrig="2880" w14:anchorId="59345C49">
          <v:shape id="_x0000_i1033" type="#_x0000_t75" style="width:222pt;height:162pt" o:ole="">
            <v:imagedata r:id="rId23" o:title=""/>
          </v:shape>
          <o:OLEObject Type="Embed" ProgID="AcroExch.Document.DC" ShapeID="_x0000_i1033" DrawAspect="Content" ObjectID="_1644397662" r:id="rId24"/>
        </w:object>
      </w:r>
      <w:r>
        <w:rPr>
          <w:rFonts w:cstheme="minorHAnsi"/>
          <w:color w:val="0070C0"/>
          <w:sz w:val="24"/>
          <w:szCs w:val="24"/>
        </w:rPr>
        <w:object w:dxaOrig="3960" w:dyaOrig="2880" w14:anchorId="743A11B9">
          <v:shape id="_x0000_i1034" type="#_x0000_t75" style="width:220.9pt;height:160.35pt" o:ole="">
            <v:imagedata r:id="rId25" o:title=""/>
          </v:shape>
          <o:OLEObject Type="Embed" ProgID="AcroExch.Document.DC" ShapeID="_x0000_i1034" DrawAspect="Content" ObjectID="_1644397663" r:id="rId26"/>
        </w:object>
      </w:r>
    </w:p>
    <w:p w14:paraId="307383B1" w14:textId="0EFAEF5B" w:rsidR="000D13C8" w:rsidRDefault="00BF063B" w:rsidP="000D13C8">
      <w:pPr>
        <w:autoSpaceDE w:val="0"/>
        <w:autoSpaceDN w:val="0"/>
        <w:adjustRightInd w:val="0"/>
        <w:spacing w:after="0" w:line="240" w:lineRule="auto"/>
        <w:jc w:val="both"/>
        <w:rPr>
          <w:rFonts w:cstheme="minorHAnsi"/>
        </w:rPr>
      </w:pPr>
      <w:r w:rsidRPr="00BF063B">
        <w:rPr>
          <w:rFonts w:cstheme="minorHAnsi"/>
        </w:rPr>
        <w:t>Indice exports :</w:t>
      </w:r>
      <w:r>
        <w:rPr>
          <w:rFonts w:cstheme="minorHAnsi"/>
        </w:rPr>
        <w:t xml:space="preserve"> 1746 =&gt; café de Bourbon</w:t>
      </w:r>
      <w:r w:rsidR="00694663">
        <w:rPr>
          <w:rFonts w:cstheme="minorHAnsi"/>
        </w:rPr>
        <w:t xml:space="preserve"> : 1,86 </w:t>
      </w:r>
      <w:r>
        <w:rPr>
          <w:rFonts w:cstheme="minorHAnsi"/>
        </w:rPr>
        <w:t xml:space="preserve">// </w:t>
      </w:r>
      <w:r w:rsidR="00883E65">
        <w:rPr>
          <w:rFonts w:cstheme="minorHAnsi"/>
        </w:rPr>
        <w:t xml:space="preserve">111 996 </w:t>
      </w:r>
      <w:r>
        <w:rPr>
          <w:rFonts w:cstheme="minorHAnsi"/>
        </w:rPr>
        <w:t>// kg</w:t>
      </w:r>
    </w:p>
    <w:p w14:paraId="6AF939CD" w14:textId="3F41492E" w:rsidR="000D13C8" w:rsidRPr="000D13C8" w:rsidRDefault="000D13C8" w:rsidP="000D13C8">
      <w:pPr>
        <w:autoSpaceDE w:val="0"/>
        <w:autoSpaceDN w:val="0"/>
        <w:adjustRightInd w:val="0"/>
        <w:spacing w:after="0" w:line="240" w:lineRule="auto"/>
        <w:jc w:val="both"/>
        <w:rPr>
          <w:rFonts w:cstheme="minorHAnsi"/>
        </w:rPr>
      </w:pPr>
      <w:r w:rsidRPr="000D13C8">
        <w:rPr>
          <w:rFonts w:cstheme="minorHAnsi"/>
        </w:rPr>
        <w:t>Remarque : Prix unitaire plus é</w:t>
      </w:r>
      <w:r>
        <w:rPr>
          <w:rFonts w:cstheme="minorHAnsi"/>
        </w:rPr>
        <w:t>levé qu’en moyenne dans l’échantillon =1,86 (</w:t>
      </w:r>
      <w:proofErr w:type="spellStart"/>
      <w:r>
        <w:rPr>
          <w:rFonts w:cstheme="minorHAnsi"/>
        </w:rPr>
        <w:t>median</w:t>
      </w:r>
      <w:proofErr w:type="spellEnd"/>
      <w:r>
        <w:rPr>
          <w:rFonts w:cstheme="minorHAnsi"/>
        </w:rPr>
        <w:t>=1,53)</w:t>
      </w:r>
      <w:r w:rsidR="00883E65">
        <w:rPr>
          <w:rFonts w:cstheme="minorHAnsi"/>
        </w:rPr>
        <w:t xml:space="preserve"> corroborée à des quantités exportées importantes (</w:t>
      </w:r>
      <w:proofErr w:type="spellStart"/>
      <w:r w:rsidR="00883E65">
        <w:rPr>
          <w:rFonts w:cstheme="minorHAnsi"/>
        </w:rPr>
        <w:t>median</w:t>
      </w:r>
      <w:proofErr w:type="spellEnd"/>
      <w:r w:rsidR="00883E65">
        <w:rPr>
          <w:rFonts w:cstheme="minorHAnsi"/>
        </w:rPr>
        <w:t>=59 400 kg)</w:t>
      </w:r>
    </w:p>
    <w:p w14:paraId="6F9108EA" w14:textId="02AD0BF9" w:rsidR="00BF063B" w:rsidRPr="000D13C8" w:rsidRDefault="00BF063B" w:rsidP="00087C68">
      <w:pPr>
        <w:autoSpaceDE w:val="0"/>
        <w:autoSpaceDN w:val="0"/>
        <w:adjustRightInd w:val="0"/>
        <w:spacing w:after="0" w:line="240" w:lineRule="auto"/>
        <w:jc w:val="both"/>
        <w:rPr>
          <w:rFonts w:cstheme="minorHAnsi"/>
        </w:rPr>
      </w:pPr>
      <w:r w:rsidRPr="000D13C8">
        <w:rPr>
          <w:rFonts w:cstheme="minorHAnsi"/>
        </w:rPr>
        <w:t>Indice exports : 1761 =&gt; fromage : 0,3 //150 // kg</w:t>
      </w:r>
    </w:p>
    <w:p w14:paraId="323ABAB1" w14:textId="009CD559" w:rsidR="00BF063B" w:rsidRPr="00BF063B" w:rsidRDefault="00BF063B" w:rsidP="00087C68">
      <w:pPr>
        <w:autoSpaceDE w:val="0"/>
        <w:autoSpaceDN w:val="0"/>
        <w:adjustRightInd w:val="0"/>
        <w:spacing w:after="0" w:line="240" w:lineRule="auto"/>
        <w:jc w:val="both"/>
        <w:rPr>
          <w:rFonts w:cstheme="minorHAnsi"/>
        </w:rPr>
      </w:pPr>
      <w:r w:rsidRPr="00BF063B">
        <w:rPr>
          <w:rFonts w:cstheme="minorHAnsi"/>
        </w:rPr>
        <w:t>Indice exports :</w:t>
      </w:r>
      <w:r>
        <w:rPr>
          <w:rFonts w:cstheme="minorHAnsi"/>
        </w:rPr>
        <w:t xml:space="preserve"> 1766 =&gt; thé : 2,1 // 1482 // kg</w:t>
      </w:r>
    </w:p>
    <w:p w14:paraId="70D7CC77" w14:textId="54D1BFC4" w:rsidR="00BF063B" w:rsidRPr="00BF063B" w:rsidRDefault="00BF063B" w:rsidP="00087C68">
      <w:pPr>
        <w:autoSpaceDE w:val="0"/>
        <w:autoSpaceDN w:val="0"/>
        <w:adjustRightInd w:val="0"/>
        <w:spacing w:after="0" w:line="240" w:lineRule="auto"/>
        <w:jc w:val="both"/>
        <w:rPr>
          <w:rFonts w:cstheme="minorHAnsi"/>
        </w:rPr>
      </w:pPr>
      <w:r w:rsidRPr="00BF063B">
        <w:rPr>
          <w:rFonts w:cstheme="minorHAnsi"/>
        </w:rPr>
        <w:t>Indice imports :</w:t>
      </w:r>
      <w:r>
        <w:rPr>
          <w:rFonts w:cstheme="minorHAnsi"/>
        </w:rPr>
        <w:t xml:space="preserve"> 1741 =&gt; tôle de fer : 0,26 // 1325 // kg</w:t>
      </w:r>
    </w:p>
    <w:p w14:paraId="21404625" w14:textId="77777777" w:rsidR="00BF063B" w:rsidRDefault="00BF063B" w:rsidP="00087C68">
      <w:pPr>
        <w:autoSpaceDE w:val="0"/>
        <w:autoSpaceDN w:val="0"/>
        <w:adjustRightInd w:val="0"/>
        <w:spacing w:after="0" w:line="240" w:lineRule="auto"/>
        <w:jc w:val="both"/>
        <w:rPr>
          <w:rFonts w:cstheme="minorHAnsi"/>
          <w:color w:val="0070C0"/>
          <w:sz w:val="24"/>
          <w:szCs w:val="24"/>
        </w:rPr>
      </w:pPr>
    </w:p>
    <w:p w14:paraId="537B0928" w14:textId="45B14DAA" w:rsidR="00AF106E" w:rsidRDefault="00AF106E" w:rsidP="00087C68">
      <w:pPr>
        <w:autoSpaceDE w:val="0"/>
        <w:autoSpaceDN w:val="0"/>
        <w:adjustRightInd w:val="0"/>
        <w:spacing w:after="0" w:line="240" w:lineRule="auto"/>
        <w:jc w:val="both"/>
        <w:rPr>
          <w:rFonts w:cstheme="minorHAnsi"/>
          <w:color w:val="0070C0"/>
          <w:sz w:val="24"/>
          <w:szCs w:val="24"/>
        </w:rPr>
      </w:pPr>
      <w:r>
        <w:rPr>
          <w:rFonts w:cstheme="minorHAnsi"/>
          <w:color w:val="0070C0"/>
          <w:sz w:val="24"/>
          <w:szCs w:val="24"/>
        </w:rPr>
        <w:t xml:space="preserve">Rennes : </w:t>
      </w:r>
    </w:p>
    <w:p w14:paraId="3DFD3DB0" w14:textId="04619BB0" w:rsidR="00AF106E" w:rsidRDefault="00AF106E" w:rsidP="00087C68">
      <w:pPr>
        <w:autoSpaceDE w:val="0"/>
        <w:autoSpaceDN w:val="0"/>
        <w:adjustRightInd w:val="0"/>
        <w:spacing w:after="0" w:line="240" w:lineRule="auto"/>
        <w:jc w:val="both"/>
        <w:rPr>
          <w:rFonts w:cstheme="minorHAnsi"/>
          <w:color w:val="0070C0"/>
          <w:sz w:val="24"/>
          <w:szCs w:val="24"/>
        </w:rPr>
      </w:pPr>
      <w:r>
        <w:rPr>
          <w:rFonts w:cstheme="minorHAnsi"/>
          <w:color w:val="0070C0"/>
          <w:sz w:val="24"/>
          <w:szCs w:val="24"/>
        </w:rPr>
        <w:object w:dxaOrig="3960" w:dyaOrig="2880" w14:anchorId="0F24EF30">
          <v:shape id="_x0000_i1035" type="#_x0000_t75" style="width:222pt;height:162pt" o:ole="">
            <v:imagedata r:id="rId27" o:title=""/>
          </v:shape>
          <o:OLEObject Type="Embed" ProgID="AcroExch.Document.DC" ShapeID="_x0000_i1035" DrawAspect="Content" ObjectID="_1644397664" r:id="rId28"/>
        </w:object>
      </w:r>
      <w:r>
        <w:rPr>
          <w:rFonts w:cstheme="minorHAnsi"/>
          <w:color w:val="0070C0"/>
          <w:sz w:val="24"/>
          <w:szCs w:val="24"/>
        </w:rPr>
        <w:object w:dxaOrig="3960" w:dyaOrig="2880" w14:anchorId="47E899A1">
          <v:shape id="_x0000_i1036" type="#_x0000_t75" style="width:222pt;height:161.45pt" o:ole="">
            <v:imagedata r:id="rId29" o:title=""/>
          </v:shape>
          <o:OLEObject Type="Embed" ProgID="AcroExch.Document.DC" ShapeID="_x0000_i1036" DrawAspect="Content" ObjectID="_1644397665" r:id="rId30"/>
        </w:object>
      </w:r>
    </w:p>
    <w:p w14:paraId="2F9E5839" w14:textId="68AB5FC4" w:rsidR="00AF106E" w:rsidRDefault="00AF106E" w:rsidP="00087C68">
      <w:pPr>
        <w:autoSpaceDE w:val="0"/>
        <w:autoSpaceDN w:val="0"/>
        <w:adjustRightInd w:val="0"/>
        <w:spacing w:after="0" w:line="240" w:lineRule="auto"/>
        <w:jc w:val="both"/>
        <w:rPr>
          <w:rFonts w:cstheme="minorHAnsi"/>
          <w:color w:val="0070C0"/>
          <w:sz w:val="24"/>
          <w:szCs w:val="24"/>
        </w:rPr>
      </w:pPr>
    </w:p>
    <w:p w14:paraId="1185D2F9" w14:textId="55FB5C18" w:rsidR="00AF106E" w:rsidRDefault="00AF106E" w:rsidP="00087C68">
      <w:pPr>
        <w:autoSpaceDE w:val="0"/>
        <w:autoSpaceDN w:val="0"/>
        <w:adjustRightInd w:val="0"/>
        <w:spacing w:after="0" w:line="240" w:lineRule="auto"/>
        <w:jc w:val="both"/>
        <w:rPr>
          <w:rFonts w:cstheme="minorHAnsi"/>
          <w:color w:val="0070C0"/>
          <w:sz w:val="24"/>
          <w:szCs w:val="24"/>
        </w:rPr>
      </w:pPr>
    </w:p>
    <w:p w14:paraId="2708E30E" w14:textId="1AFB5DDD" w:rsidR="00AF106E" w:rsidRDefault="00AF106E" w:rsidP="00087C68">
      <w:pPr>
        <w:autoSpaceDE w:val="0"/>
        <w:autoSpaceDN w:val="0"/>
        <w:adjustRightInd w:val="0"/>
        <w:spacing w:after="0" w:line="240" w:lineRule="auto"/>
        <w:jc w:val="both"/>
        <w:rPr>
          <w:rFonts w:cstheme="minorHAnsi"/>
          <w:color w:val="0070C0"/>
          <w:sz w:val="24"/>
          <w:szCs w:val="24"/>
        </w:rPr>
      </w:pPr>
    </w:p>
    <w:p w14:paraId="6DC1FF8E" w14:textId="77777777" w:rsidR="00AF106E" w:rsidRDefault="00AF106E" w:rsidP="00087C68">
      <w:pPr>
        <w:autoSpaceDE w:val="0"/>
        <w:autoSpaceDN w:val="0"/>
        <w:adjustRightInd w:val="0"/>
        <w:spacing w:after="0" w:line="240" w:lineRule="auto"/>
        <w:jc w:val="both"/>
        <w:rPr>
          <w:rFonts w:cstheme="minorHAnsi"/>
          <w:color w:val="0070C0"/>
          <w:sz w:val="24"/>
          <w:szCs w:val="24"/>
        </w:rPr>
      </w:pPr>
    </w:p>
    <w:p w14:paraId="0CCA2EF9" w14:textId="7920767B" w:rsidR="00066E27" w:rsidRDefault="00066E27" w:rsidP="00066E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cstheme="minorHAnsi"/>
          <w:sz w:val="28"/>
          <w:szCs w:val="28"/>
        </w:rPr>
      </w:pPr>
      <w:r w:rsidRPr="00066E27">
        <w:rPr>
          <w:rFonts w:cstheme="minorHAnsi"/>
          <w:sz w:val="28"/>
          <w:szCs w:val="28"/>
        </w:rPr>
        <w:t>Termes de l’échange</w:t>
      </w:r>
    </w:p>
    <w:p w14:paraId="58F7391A" w14:textId="77777777" w:rsidR="00E62B57" w:rsidRDefault="00E62B57" w:rsidP="00066E27">
      <w:pPr>
        <w:autoSpaceDE w:val="0"/>
        <w:autoSpaceDN w:val="0"/>
        <w:adjustRightInd w:val="0"/>
        <w:spacing w:after="0" w:line="240" w:lineRule="auto"/>
        <w:jc w:val="both"/>
        <w:rPr>
          <w:rFonts w:cstheme="minorHAnsi"/>
          <w:color w:val="0070C0"/>
          <w:sz w:val="24"/>
          <w:szCs w:val="24"/>
        </w:rPr>
      </w:pPr>
    </w:p>
    <w:p w14:paraId="3C90E650" w14:textId="396B004C" w:rsidR="00066E27" w:rsidRDefault="00066E27" w:rsidP="00066E27">
      <w:pPr>
        <w:autoSpaceDE w:val="0"/>
        <w:autoSpaceDN w:val="0"/>
        <w:adjustRightInd w:val="0"/>
        <w:spacing w:after="0" w:line="240" w:lineRule="auto"/>
        <w:jc w:val="both"/>
        <w:rPr>
          <w:rFonts w:cstheme="minorHAnsi"/>
          <w:color w:val="0070C0"/>
          <w:sz w:val="24"/>
          <w:szCs w:val="24"/>
        </w:rPr>
      </w:pPr>
      <w:r w:rsidRPr="00087C68">
        <w:rPr>
          <w:rFonts w:cstheme="minorHAnsi"/>
          <w:color w:val="0070C0"/>
          <w:sz w:val="24"/>
          <w:szCs w:val="24"/>
        </w:rPr>
        <w:t xml:space="preserve">Bayonne : </w:t>
      </w:r>
    </w:p>
    <w:p w14:paraId="64C694CC" w14:textId="79F1A5A7" w:rsidR="00066E27" w:rsidRDefault="00335221" w:rsidP="00066E27">
      <w:pPr>
        <w:autoSpaceDE w:val="0"/>
        <w:autoSpaceDN w:val="0"/>
        <w:adjustRightInd w:val="0"/>
        <w:spacing w:after="0" w:line="240" w:lineRule="auto"/>
        <w:jc w:val="both"/>
        <w:rPr>
          <w:rFonts w:cstheme="minorHAnsi"/>
          <w:color w:val="0070C0"/>
          <w:sz w:val="24"/>
          <w:szCs w:val="24"/>
        </w:rPr>
      </w:pPr>
      <w:r>
        <w:rPr>
          <w:rFonts w:cstheme="minorHAnsi"/>
          <w:color w:val="0070C0"/>
          <w:sz w:val="24"/>
          <w:szCs w:val="24"/>
        </w:rPr>
        <w:object w:dxaOrig="3960" w:dyaOrig="2880" w14:anchorId="7E11121B">
          <v:shape id="_x0000_i1037" type="#_x0000_t75" style="width:286.35pt;height:208.35pt" o:ole="">
            <v:imagedata r:id="rId31" o:title=""/>
          </v:shape>
          <o:OLEObject Type="Embed" ProgID="AcroExch.Document.DC" ShapeID="_x0000_i1037" DrawAspect="Content" ObjectID="_1644397666" r:id="rId32"/>
        </w:object>
      </w:r>
    </w:p>
    <w:p w14:paraId="2EEE9328" w14:textId="5004B432" w:rsidR="00335221" w:rsidRDefault="00335221" w:rsidP="00335221">
      <w:pPr>
        <w:autoSpaceDE w:val="0"/>
        <w:autoSpaceDN w:val="0"/>
        <w:adjustRightInd w:val="0"/>
        <w:spacing w:after="0" w:line="240" w:lineRule="auto"/>
        <w:jc w:val="both"/>
      </w:pPr>
      <w:r w:rsidRPr="00A70CBB">
        <w:rPr>
          <w:rFonts w:cstheme="minorHAnsi"/>
        </w:rPr>
        <w:t>De manière générale entre 1750 et 1780</w:t>
      </w:r>
      <w:r>
        <w:t>, l</w:t>
      </w:r>
      <w:r w:rsidRPr="00A70CBB">
        <w:t>es indices de prix (à l’exportation et importation) et les termes de l’échange oscillent entre 0,</w:t>
      </w:r>
      <w:r w:rsidR="00001A59">
        <w:t>6</w:t>
      </w:r>
      <w:r w:rsidRPr="00A70CBB">
        <w:t xml:space="preserve"> et 1,</w:t>
      </w:r>
      <w:r w:rsidR="00001A59">
        <w:t>1</w:t>
      </w:r>
      <w:r w:rsidRPr="00A70CBB">
        <w:t xml:space="preserve"> sur la période. </w:t>
      </w:r>
    </w:p>
    <w:p w14:paraId="1190388E" w14:textId="1F939B0E" w:rsidR="00335221" w:rsidRDefault="00335221" w:rsidP="00335221">
      <w:pPr>
        <w:autoSpaceDE w:val="0"/>
        <w:autoSpaceDN w:val="0"/>
        <w:adjustRightInd w:val="0"/>
        <w:spacing w:after="0" w:line="240" w:lineRule="auto"/>
        <w:jc w:val="both"/>
      </w:pPr>
      <w:r>
        <w:t xml:space="preserve">Avant 1750, les termes de l’échange sont tirés par la hausse de l’indice de prix à l’exportation. Il s’en suit une baisse des termes de l’échange jusqu’en 1755 (malgré un rebond en 1752 </w:t>
      </w:r>
      <w:proofErr w:type="gramStart"/>
      <w:r>
        <w:t>suite à</w:t>
      </w:r>
      <w:proofErr w:type="gramEnd"/>
      <w:r>
        <w:t xml:space="preserve"> la diminution des indices de prix à l’importation), liée à la baisse des indices de prix à l’exportation corroborée à une hausse des indices à l’importation. Le pic observé en 1777 est causé par une hausse des indices de prix à l’exportation tandis qu’ils restent stables à l’importation. </w:t>
      </w:r>
    </w:p>
    <w:p w14:paraId="64D66B56" w14:textId="77777777" w:rsidR="00335221" w:rsidRDefault="00335221" w:rsidP="00335221">
      <w:pPr>
        <w:autoSpaceDE w:val="0"/>
        <w:autoSpaceDN w:val="0"/>
        <w:adjustRightInd w:val="0"/>
        <w:spacing w:after="0" w:line="240" w:lineRule="auto"/>
        <w:jc w:val="both"/>
      </w:pPr>
      <w:r>
        <w:t>Les termes de l’échange sont difficilement interprétables après 1780 puisque nous n’avons aucune donnée entre 1780 et 1788 concernant les importations et entre 1780 et 1787 pour les exportations.</w:t>
      </w:r>
    </w:p>
    <w:p w14:paraId="7153DDA5" w14:textId="18A430A2" w:rsidR="00E62B57" w:rsidRDefault="00E62B57" w:rsidP="00066E27">
      <w:pPr>
        <w:autoSpaceDE w:val="0"/>
        <w:autoSpaceDN w:val="0"/>
        <w:adjustRightInd w:val="0"/>
        <w:spacing w:after="0" w:line="240" w:lineRule="auto"/>
        <w:jc w:val="both"/>
        <w:rPr>
          <w:rFonts w:cstheme="minorHAnsi"/>
          <w:color w:val="0070C0"/>
          <w:sz w:val="24"/>
          <w:szCs w:val="24"/>
        </w:rPr>
      </w:pPr>
    </w:p>
    <w:p w14:paraId="6DEA80F4" w14:textId="08EEA41A" w:rsidR="005F4D38" w:rsidRDefault="005F4D38" w:rsidP="00066E27">
      <w:pPr>
        <w:autoSpaceDE w:val="0"/>
        <w:autoSpaceDN w:val="0"/>
        <w:adjustRightInd w:val="0"/>
        <w:spacing w:after="0" w:line="240" w:lineRule="auto"/>
        <w:jc w:val="both"/>
        <w:rPr>
          <w:rFonts w:cstheme="minorHAnsi"/>
          <w:b/>
          <w:bCs/>
          <w:color w:val="000000" w:themeColor="text1"/>
        </w:rPr>
      </w:pPr>
      <w:r w:rsidRPr="005F4D38">
        <w:rPr>
          <w:rFonts w:cstheme="minorHAnsi"/>
          <w:b/>
          <w:bCs/>
          <w:color w:val="000000" w:themeColor="text1"/>
        </w:rPr>
        <w:t xml:space="preserve">Effets fixes années : </w:t>
      </w:r>
    </w:p>
    <w:p w14:paraId="461A35D6" w14:textId="53AFF511" w:rsidR="005F4D38" w:rsidRDefault="005F4D38" w:rsidP="00066E27">
      <w:pPr>
        <w:autoSpaceDE w:val="0"/>
        <w:autoSpaceDN w:val="0"/>
        <w:adjustRightInd w:val="0"/>
        <w:spacing w:after="0" w:line="240" w:lineRule="auto"/>
        <w:jc w:val="both"/>
        <w:rPr>
          <w:rFonts w:cstheme="minorHAnsi"/>
          <w:b/>
          <w:bCs/>
          <w:color w:val="000000" w:themeColor="text1"/>
        </w:rPr>
      </w:pPr>
      <w:r>
        <w:rPr>
          <w:rFonts w:cstheme="minorHAnsi"/>
          <w:b/>
          <w:bCs/>
          <w:color w:val="000000" w:themeColor="text1"/>
        </w:rPr>
        <w:t xml:space="preserve">Indices de prix à l’exportation : </w:t>
      </w:r>
      <w:r w:rsidR="004D5444">
        <w:rPr>
          <w:rFonts w:cstheme="minorHAnsi"/>
          <w:b/>
          <w:bCs/>
          <w:color w:val="000000" w:themeColor="text1"/>
        </w:rPr>
        <w:t xml:space="preserve">effet </w:t>
      </w:r>
      <w:r>
        <w:rPr>
          <w:rFonts w:cstheme="minorHAnsi"/>
          <w:b/>
          <w:bCs/>
          <w:color w:val="000000" w:themeColor="text1"/>
        </w:rPr>
        <w:t>négatif sur la période 1751-1757 en moyenne : -0,32</w:t>
      </w:r>
    </w:p>
    <w:p w14:paraId="7ADE87F9" w14:textId="70598F6E" w:rsidR="005F4D38" w:rsidRPr="005F4D38" w:rsidRDefault="005F4D38" w:rsidP="00066E27">
      <w:pPr>
        <w:autoSpaceDE w:val="0"/>
        <w:autoSpaceDN w:val="0"/>
        <w:adjustRightInd w:val="0"/>
        <w:spacing w:after="0" w:line="240" w:lineRule="auto"/>
        <w:jc w:val="both"/>
        <w:rPr>
          <w:rFonts w:cstheme="minorHAnsi"/>
          <w:b/>
          <w:bCs/>
          <w:color w:val="000000" w:themeColor="text1"/>
        </w:rPr>
      </w:pPr>
      <w:r>
        <w:rPr>
          <w:rFonts w:cstheme="minorHAnsi"/>
          <w:b/>
          <w:bCs/>
          <w:color w:val="000000" w:themeColor="text1"/>
        </w:rPr>
        <w:t xml:space="preserve">A l’importation : </w:t>
      </w:r>
      <w:r w:rsidR="004D5444">
        <w:rPr>
          <w:rFonts w:cstheme="minorHAnsi"/>
          <w:b/>
          <w:bCs/>
          <w:color w:val="000000" w:themeColor="text1"/>
        </w:rPr>
        <w:t xml:space="preserve">effet </w:t>
      </w:r>
      <w:r>
        <w:rPr>
          <w:rFonts w:cstheme="minorHAnsi"/>
          <w:b/>
          <w:bCs/>
          <w:color w:val="000000" w:themeColor="text1"/>
        </w:rPr>
        <w:t>négatif en 1788</w:t>
      </w:r>
    </w:p>
    <w:p w14:paraId="6E439303" w14:textId="316BDA4B" w:rsidR="005F4D38" w:rsidRDefault="005F4D38" w:rsidP="00066E27">
      <w:pPr>
        <w:autoSpaceDE w:val="0"/>
        <w:autoSpaceDN w:val="0"/>
        <w:adjustRightInd w:val="0"/>
        <w:spacing w:after="0" w:line="240" w:lineRule="auto"/>
        <w:jc w:val="both"/>
        <w:rPr>
          <w:rFonts w:cstheme="minorHAnsi"/>
          <w:color w:val="0070C0"/>
          <w:sz w:val="24"/>
          <w:szCs w:val="24"/>
        </w:rPr>
      </w:pPr>
    </w:p>
    <w:p w14:paraId="11A240FF" w14:textId="578CE8D3" w:rsidR="005F4D38" w:rsidRDefault="005F4D38" w:rsidP="00066E27">
      <w:pPr>
        <w:autoSpaceDE w:val="0"/>
        <w:autoSpaceDN w:val="0"/>
        <w:adjustRightInd w:val="0"/>
        <w:spacing w:after="0" w:line="240" w:lineRule="auto"/>
        <w:jc w:val="both"/>
        <w:rPr>
          <w:rFonts w:cstheme="minorHAnsi"/>
          <w:color w:val="0070C0"/>
          <w:sz w:val="24"/>
          <w:szCs w:val="24"/>
        </w:rPr>
      </w:pPr>
    </w:p>
    <w:p w14:paraId="53CCC01E" w14:textId="77777777" w:rsidR="005F4D38" w:rsidRDefault="005F4D38" w:rsidP="00066E27">
      <w:pPr>
        <w:autoSpaceDE w:val="0"/>
        <w:autoSpaceDN w:val="0"/>
        <w:adjustRightInd w:val="0"/>
        <w:spacing w:after="0" w:line="240" w:lineRule="auto"/>
        <w:jc w:val="both"/>
        <w:rPr>
          <w:rFonts w:cstheme="minorHAnsi"/>
          <w:color w:val="0070C0"/>
          <w:sz w:val="24"/>
          <w:szCs w:val="24"/>
        </w:rPr>
      </w:pPr>
    </w:p>
    <w:p w14:paraId="65A2F2DF" w14:textId="05821B17" w:rsidR="00066E27" w:rsidRDefault="00066E27" w:rsidP="00066E27">
      <w:pPr>
        <w:autoSpaceDE w:val="0"/>
        <w:autoSpaceDN w:val="0"/>
        <w:adjustRightInd w:val="0"/>
        <w:spacing w:after="0" w:line="240" w:lineRule="auto"/>
        <w:jc w:val="both"/>
        <w:rPr>
          <w:rFonts w:cstheme="minorHAnsi"/>
          <w:color w:val="0070C0"/>
          <w:sz w:val="24"/>
          <w:szCs w:val="24"/>
        </w:rPr>
      </w:pPr>
      <w:r w:rsidRPr="00087C68">
        <w:rPr>
          <w:rFonts w:cstheme="minorHAnsi"/>
          <w:color w:val="0070C0"/>
          <w:sz w:val="24"/>
          <w:szCs w:val="24"/>
        </w:rPr>
        <w:lastRenderedPageBreak/>
        <w:t xml:space="preserve">Bordeaux : </w:t>
      </w:r>
    </w:p>
    <w:p w14:paraId="6B55F32E" w14:textId="6F0B49C2" w:rsidR="00E62B57" w:rsidRDefault="00335221" w:rsidP="00066E27">
      <w:pPr>
        <w:autoSpaceDE w:val="0"/>
        <w:autoSpaceDN w:val="0"/>
        <w:adjustRightInd w:val="0"/>
        <w:spacing w:after="0" w:line="240" w:lineRule="auto"/>
        <w:jc w:val="both"/>
        <w:rPr>
          <w:rFonts w:cstheme="minorHAnsi"/>
          <w:color w:val="0070C0"/>
          <w:sz w:val="24"/>
          <w:szCs w:val="24"/>
        </w:rPr>
      </w:pPr>
      <w:r>
        <w:rPr>
          <w:rFonts w:cstheme="minorHAnsi"/>
          <w:color w:val="0070C0"/>
          <w:sz w:val="24"/>
          <w:szCs w:val="24"/>
        </w:rPr>
        <w:object w:dxaOrig="3960" w:dyaOrig="2880" w14:anchorId="7847A71D">
          <v:shape id="_x0000_i1038" type="#_x0000_t75" style="width:283.1pt;height:206.2pt" o:ole="">
            <v:imagedata r:id="rId33" o:title=""/>
          </v:shape>
          <o:OLEObject Type="Embed" ProgID="AcroExch.Document.DC" ShapeID="_x0000_i1038" DrawAspect="Content" ObjectID="_1644397667" r:id="rId34"/>
        </w:object>
      </w:r>
    </w:p>
    <w:p w14:paraId="56641754" w14:textId="254EE072" w:rsidR="00001A59" w:rsidRDefault="00001A59" w:rsidP="00001A59">
      <w:pPr>
        <w:jc w:val="both"/>
        <w:rPr>
          <w:rFonts w:cstheme="minorHAnsi"/>
        </w:rPr>
      </w:pPr>
      <w:r w:rsidRPr="008C25E8">
        <w:rPr>
          <w:rFonts w:cstheme="minorHAnsi"/>
        </w:rPr>
        <w:t xml:space="preserve">Sur la période 1720-1780, les termes de l’échange dans le port de Bordeaux sont relativement stables entre </w:t>
      </w:r>
      <w:r>
        <w:rPr>
          <w:rFonts w:cstheme="minorHAnsi"/>
        </w:rPr>
        <w:t>0,8</w:t>
      </w:r>
      <w:r w:rsidRPr="008C25E8">
        <w:rPr>
          <w:rFonts w:cstheme="minorHAnsi"/>
        </w:rPr>
        <w:t xml:space="preserve"> et 1,5 avec de faibles variations au cours de la période en termes d’ampleur. Les termes de l’échange auraient néanmoins tendance à baisser avec le temps</w:t>
      </w:r>
      <w:r>
        <w:rPr>
          <w:rFonts w:cstheme="minorHAnsi"/>
        </w:rPr>
        <w:t xml:space="preserve"> du fait de la hausse des indices de prix à l’importation entre 1735 et 1780</w:t>
      </w:r>
      <w:r w:rsidRPr="008C25E8">
        <w:rPr>
          <w:rFonts w:cstheme="minorHAnsi"/>
        </w:rPr>
        <w:t xml:space="preserve">. </w:t>
      </w:r>
    </w:p>
    <w:p w14:paraId="58DFD851" w14:textId="77777777" w:rsidR="00001A59" w:rsidRDefault="00001A59" w:rsidP="00001A59">
      <w:pPr>
        <w:jc w:val="both"/>
        <w:rPr>
          <w:rFonts w:cstheme="minorHAnsi"/>
        </w:rPr>
      </w:pPr>
      <w:r>
        <w:rPr>
          <w:rFonts w:cstheme="minorHAnsi"/>
        </w:rPr>
        <w:t>A noter, un pic en 1748 causé par une hausse importante des indices de prix à l’exportation.</w:t>
      </w:r>
    </w:p>
    <w:p w14:paraId="314D5D72" w14:textId="3856A45A" w:rsidR="00335221" w:rsidRDefault="00001A59" w:rsidP="00001A59">
      <w:pPr>
        <w:jc w:val="both"/>
        <w:rPr>
          <w:rFonts w:cstheme="minorHAnsi"/>
        </w:rPr>
      </w:pPr>
      <w:r>
        <w:rPr>
          <w:rFonts w:cstheme="minorHAnsi"/>
        </w:rPr>
        <w:t>Les termes de l’échange sont difficilement interprétables à partir de 1780 avec une absence de données entre 1780 et 1787 (plus précisément aucune donnée entre 1778 et 1787 à l’exportation et entre 1780 et 1788 à l’importation).</w:t>
      </w:r>
    </w:p>
    <w:p w14:paraId="0AEF4138" w14:textId="44FF658C" w:rsidR="005F4D38" w:rsidRPr="004D5444" w:rsidRDefault="005F4D38" w:rsidP="00001A59">
      <w:pPr>
        <w:jc w:val="both"/>
        <w:rPr>
          <w:rFonts w:cstheme="minorHAnsi"/>
          <w:b/>
          <w:bCs/>
        </w:rPr>
      </w:pPr>
      <w:r w:rsidRPr="004D5444">
        <w:rPr>
          <w:rFonts w:cstheme="minorHAnsi"/>
          <w:b/>
          <w:bCs/>
        </w:rPr>
        <w:t>Effets fixes années :</w:t>
      </w:r>
    </w:p>
    <w:p w14:paraId="14E7749E" w14:textId="107BE555" w:rsidR="005F4D38" w:rsidRPr="004D5444" w:rsidRDefault="005F4D38" w:rsidP="00001A59">
      <w:pPr>
        <w:jc w:val="both"/>
        <w:rPr>
          <w:rFonts w:cstheme="minorHAnsi"/>
          <w:b/>
          <w:bCs/>
        </w:rPr>
      </w:pPr>
      <w:r w:rsidRPr="004D5444">
        <w:rPr>
          <w:rFonts w:cstheme="minorHAnsi"/>
          <w:b/>
          <w:bCs/>
        </w:rPr>
        <w:t xml:space="preserve">Indices de prix à l’exportation : </w:t>
      </w:r>
      <w:r w:rsidR="003E4B0B">
        <w:rPr>
          <w:rFonts w:cstheme="minorHAnsi"/>
          <w:b/>
          <w:bCs/>
        </w:rPr>
        <w:t>Aucun effet année</w:t>
      </w:r>
    </w:p>
    <w:p w14:paraId="325E8BC6" w14:textId="36FFBB78" w:rsidR="005F4D38" w:rsidRPr="004D5444" w:rsidRDefault="005F4D38" w:rsidP="00001A59">
      <w:pPr>
        <w:jc w:val="both"/>
        <w:rPr>
          <w:rFonts w:cstheme="minorHAnsi"/>
          <w:b/>
          <w:bCs/>
        </w:rPr>
      </w:pPr>
      <w:r w:rsidRPr="004D5444">
        <w:rPr>
          <w:rFonts w:cstheme="minorHAnsi"/>
          <w:b/>
          <w:bCs/>
        </w:rPr>
        <w:t xml:space="preserve">A l’importation : </w:t>
      </w:r>
      <w:r w:rsidR="003E4B0B">
        <w:rPr>
          <w:rFonts w:cstheme="minorHAnsi"/>
          <w:b/>
          <w:bCs/>
        </w:rPr>
        <w:t xml:space="preserve"> Coefficients significatifs négatifs (autour de -0,25 ou -0,30) sur l’ensemble période néanmoins les coefficients sont relativement plus élevés sur la période 1728-1729 (-0,45) et 1731-1741 (-0,50).</w:t>
      </w:r>
    </w:p>
    <w:p w14:paraId="21E2A4A1" w14:textId="6B39C55C" w:rsidR="00AF106E" w:rsidRDefault="00066E27" w:rsidP="00066E27">
      <w:pPr>
        <w:rPr>
          <w:rFonts w:cstheme="minorHAnsi"/>
          <w:color w:val="0070C0"/>
          <w:sz w:val="24"/>
          <w:szCs w:val="24"/>
        </w:rPr>
      </w:pPr>
      <w:r w:rsidRPr="00087C68">
        <w:rPr>
          <w:rFonts w:cstheme="minorHAnsi"/>
          <w:color w:val="0070C0"/>
          <w:sz w:val="24"/>
          <w:szCs w:val="24"/>
        </w:rPr>
        <w:t>La Rochelle :</w:t>
      </w:r>
    </w:p>
    <w:p w14:paraId="1AB91F51" w14:textId="21178185" w:rsidR="00E62B57" w:rsidRDefault="00D540E5" w:rsidP="00066E27">
      <w:pPr>
        <w:rPr>
          <w:rFonts w:cstheme="minorHAnsi"/>
          <w:color w:val="0070C0"/>
          <w:sz w:val="24"/>
          <w:szCs w:val="24"/>
        </w:rPr>
      </w:pPr>
      <w:r>
        <w:rPr>
          <w:rFonts w:cstheme="minorHAnsi"/>
          <w:color w:val="0070C0"/>
          <w:sz w:val="24"/>
          <w:szCs w:val="24"/>
        </w:rPr>
        <w:object w:dxaOrig="3960" w:dyaOrig="2880" w14:anchorId="24E30E39">
          <v:shape id="_x0000_i1039" type="#_x0000_t75" style="width:284.75pt;height:207.25pt" o:ole="">
            <v:imagedata r:id="rId35" o:title=""/>
          </v:shape>
          <o:OLEObject Type="Embed" ProgID="AcroExch.Document.DC" ShapeID="_x0000_i1039" DrawAspect="Content" ObjectID="_1644397668" r:id="rId36"/>
        </w:object>
      </w:r>
    </w:p>
    <w:p w14:paraId="62B6E241" w14:textId="77777777" w:rsidR="00001A59" w:rsidRPr="00416796" w:rsidRDefault="00001A59" w:rsidP="00001A59">
      <w:pPr>
        <w:jc w:val="both"/>
        <w:rPr>
          <w:rFonts w:cstheme="minorHAnsi"/>
        </w:rPr>
      </w:pPr>
      <w:r w:rsidRPr="00416796">
        <w:rPr>
          <w:rFonts w:cstheme="minorHAnsi"/>
        </w:rPr>
        <w:lastRenderedPageBreak/>
        <w:t xml:space="preserve">L’évolution de termes de l’échange, entre 1718 et 1780, est marquée par de nombreuses fluctuations entre 0,8 et 1,4, à l’image des variations des indices de prix aussi bien à l’importation qu’à l’exportation. </w:t>
      </w:r>
    </w:p>
    <w:p w14:paraId="1D12B247" w14:textId="77777777" w:rsidR="00001A59" w:rsidRPr="00416796" w:rsidRDefault="00001A59" w:rsidP="00001A59">
      <w:pPr>
        <w:jc w:val="both"/>
        <w:rPr>
          <w:rFonts w:cstheme="minorHAnsi"/>
        </w:rPr>
      </w:pPr>
      <w:r w:rsidRPr="00416796">
        <w:rPr>
          <w:rFonts w:cstheme="minorHAnsi"/>
        </w:rPr>
        <w:t xml:space="preserve">Les termes de l’échange à La Rochelle diminuent fortement en 1721 </w:t>
      </w:r>
      <w:proofErr w:type="gramStart"/>
      <w:r w:rsidRPr="00416796">
        <w:rPr>
          <w:rFonts w:cstheme="minorHAnsi"/>
        </w:rPr>
        <w:t>suite à</w:t>
      </w:r>
      <w:proofErr w:type="gramEnd"/>
      <w:r w:rsidRPr="00416796">
        <w:rPr>
          <w:rFonts w:cstheme="minorHAnsi"/>
        </w:rPr>
        <w:t xml:space="preserve"> la hausse des indices de prix à l’importation</w:t>
      </w:r>
      <w:r>
        <w:rPr>
          <w:rFonts w:cstheme="minorHAnsi"/>
        </w:rPr>
        <w:t>.</w:t>
      </w:r>
    </w:p>
    <w:p w14:paraId="714E1F63" w14:textId="77777777" w:rsidR="00001A59" w:rsidRPr="00416796" w:rsidRDefault="00001A59" w:rsidP="00001A59">
      <w:pPr>
        <w:jc w:val="both"/>
        <w:rPr>
          <w:rFonts w:cstheme="minorHAnsi"/>
        </w:rPr>
      </w:pPr>
      <w:r w:rsidRPr="00416796">
        <w:rPr>
          <w:rFonts w:cstheme="minorHAnsi"/>
        </w:rPr>
        <w:t xml:space="preserve">La période 1763-1768 connait un pic qui s’ensuit d’une chute brutale des termes de l’échange. Ce phénomène est lié, dans un premier temps, à une hausse des indices de prix à l’exportation supérieure à ceux à l’importation. Puis, les indices de prix vont diminuer conjointement jusqu’en 1766 tandis que les indices de prix à l’importation vont augmenter subitement, contrairement aux indices à l’exportation, provoquant la chute des termes de l’échange dans le port de La Rochelle. Enfin, les indices de prix à l’importation vont diminuer de manière immédiate et importante stabilisant de fait les variations des termes de l’échange autour de 1,1. </w:t>
      </w:r>
    </w:p>
    <w:p w14:paraId="4BD65683" w14:textId="0BC7C70F" w:rsidR="00001A59" w:rsidRDefault="00001A59" w:rsidP="00001A59">
      <w:pPr>
        <w:jc w:val="both"/>
        <w:rPr>
          <w:rFonts w:cstheme="minorHAnsi"/>
        </w:rPr>
      </w:pPr>
      <w:r w:rsidRPr="00416796">
        <w:rPr>
          <w:rFonts w:cstheme="minorHAnsi"/>
        </w:rPr>
        <w:t xml:space="preserve">A partir de 1780, l’évolution n’est plus interprétable à cause de l’absence de données entre 1780 et 1780 aussi bien pour les importations que les exportations. </w:t>
      </w:r>
    </w:p>
    <w:p w14:paraId="0A2C4379" w14:textId="4A4AD65B" w:rsidR="003E4B0B" w:rsidRPr="003E4B0B" w:rsidRDefault="003E4B0B" w:rsidP="00001A59">
      <w:pPr>
        <w:jc w:val="both"/>
        <w:rPr>
          <w:rFonts w:cstheme="minorHAnsi"/>
          <w:b/>
          <w:bCs/>
          <w:color w:val="000000" w:themeColor="text1"/>
        </w:rPr>
      </w:pPr>
      <w:r w:rsidRPr="003E4B0B">
        <w:rPr>
          <w:rFonts w:cstheme="minorHAnsi"/>
          <w:b/>
          <w:bCs/>
          <w:color w:val="000000" w:themeColor="text1"/>
        </w:rPr>
        <w:t xml:space="preserve">Effets fixes années : </w:t>
      </w:r>
    </w:p>
    <w:p w14:paraId="340E36ED" w14:textId="07521CF6" w:rsidR="003E4B0B" w:rsidRDefault="003E4B0B" w:rsidP="00001A59">
      <w:pPr>
        <w:jc w:val="both"/>
        <w:rPr>
          <w:rFonts w:cstheme="minorHAnsi"/>
          <w:b/>
          <w:bCs/>
          <w:color w:val="000000" w:themeColor="text1"/>
        </w:rPr>
      </w:pPr>
      <w:r w:rsidRPr="003E4B0B">
        <w:rPr>
          <w:rFonts w:cstheme="minorHAnsi"/>
          <w:b/>
          <w:bCs/>
          <w:color w:val="000000" w:themeColor="text1"/>
        </w:rPr>
        <w:t>A l’exportation : Les coefficients sont significatifs et positifs sur la période (+0,35 en moyenne). Cependant, on observe des coefficients plus élevés en 1761-1762 (+0,70) et en 1780 (+0,80)</w:t>
      </w:r>
      <w:r>
        <w:rPr>
          <w:rFonts w:cstheme="minorHAnsi"/>
          <w:b/>
          <w:bCs/>
          <w:color w:val="000000" w:themeColor="text1"/>
        </w:rPr>
        <w:t>.</w:t>
      </w:r>
    </w:p>
    <w:p w14:paraId="742DC8E7" w14:textId="613A7844" w:rsidR="003E4B0B" w:rsidRPr="003E4B0B" w:rsidRDefault="003E4B0B" w:rsidP="00001A59">
      <w:pPr>
        <w:jc w:val="both"/>
        <w:rPr>
          <w:rFonts w:cstheme="minorHAnsi"/>
          <w:b/>
          <w:bCs/>
          <w:color w:val="000000" w:themeColor="text1"/>
        </w:rPr>
      </w:pPr>
      <w:r>
        <w:rPr>
          <w:rFonts w:cstheme="minorHAnsi"/>
          <w:b/>
          <w:bCs/>
          <w:color w:val="000000" w:themeColor="text1"/>
        </w:rPr>
        <w:t>A l’importation : Les coefficients sont également positifs et significatifs sur la période. La période 1758-1761 est marquée par des coefficients plus importants (+0,45 voire +0,55). De même en 1779-1780 avec des coefficients de +0,46. En 1788, le coefficient atteint +0,55.</w:t>
      </w:r>
    </w:p>
    <w:p w14:paraId="65F10921" w14:textId="6020DE45" w:rsidR="00066E27" w:rsidRDefault="00066E27" w:rsidP="00066E27">
      <w:pPr>
        <w:rPr>
          <w:rFonts w:cstheme="minorHAnsi"/>
          <w:color w:val="0070C0"/>
          <w:sz w:val="24"/>
          <w:szCs w:val="24"/>
        </w:rPr>
      </w:pPr>
      <w:r w:rsidRPr="00087C68">
        <w:rPr>
          <w:rFonts w:cstheme="minorHAnsi"/>
          <w:color w:val="0070C0"/>
          <w:sz w:val="24"/>
          <w:szCs w:val="24"/>
        </w:rPr>
        <w:t>Marseille :</w:t>
      </w:r>
    </w:p>
    <w:p w14:paraId="7388F96B" w14:textId="59323D64" w:rsidR="00066E27" w:rsidRDefault="00001A59" w:rsidP="00066E27">
      <w:pPr>
        <w:autoSpaceDE w:val="0"/>
        <w:autoSpaceDN w:val="0"/>
        <w:adjustRightInd w:val="0"/>
        <w:spacing w:after="0" w:line="240" w:lineRule="auto"/>
        <w:jc w:val="both"/>
        <w:rPr>
          <w:rFonts w:cstheme="minorHAnsi"/>
          <w:color w:val="0070C0"/>
          <w:sz w:val="24"/>
          <w:szCs w:val="24"/>
        </w:rPr>
      </w:pPr>
      <w:r>
        <w:rPr>
          <w:rFonts w:cstheme="minorHAnsi"/>
          <w:color w:val="0070C0"/>
          <w:sz w:val="24"/>
          <w:szCs w:val="24"/>
        </w:rPr>
        <w:object w:dxaOrig="3960" w:dyaOrig="2880" w14:anchorId="552EDD36">
          <v:shape id="_x0000_i1040" type="#_x0000_t75" style="width:276.55pt;height:200.75pt" o:ole="">
            <v:imagedata r:id="rId37" o:title=""/>
          </v:shape>
          <o:OLEObject Type="Embed" ProgID="AcroExch.Document.DC" ShapeID="_x0000_i1040" DrawAspect="Content" ObjectID="_1644397669" r:id="rId38"/>
        </w:object>
      </w:r>
    </w:p>
    <w:p w14:paraId="1F338593" w14:textId="3F8402A0" w:rsidR="00020828" w:rsidRDefault="00020828" w:rsidP="00066E27">
      <w:pPr>
        <w:autoSpaceDE w:val="0"/>
        <w:autoSpaceDN w:val="0"/>
        <w:adjustRightInd w:val="0"/>
        <w:spacing w:after="0" w:line="240" w:lineRule="auto"/>
        <w:jc w:val="both"/>
        <w:rPr>
          <w:rFonts w:cstheme="minorHAnsi"/>
        </w:rPr>
      </w:pPr>
    </w:p>
    <w:p w14:paraId="548C6322" w14:textId="77777777" w:rsidR="00001A59" w:rsidRPr="00020828" w:rsidRDefault="00001A59" w:rsidP="00001A59">
      <w:pPr>
        <w:autoSpaceDE w:val="0"/>
        <w:autoSpaceDN w:val="0"/>
        <w:adjustRightInd w:val="0"/>
        <w:spacing w:after="0" w:line="240" w:lineRule="auto"/>
        <w:jc w:val="both"/>
        <w:rPr>
          <w:rFonts w:cstheme="minorHAnsi"/>
        </w:rPr>
      </w:pPr>
      <w:r w:rsidRPr="00020828">
        <w:rPr>
          <w:rFonts w:cstheme="minorHAnsi"/>
        </w:rPr>
        <w:t xml:space="preserve">L’évolution des termes de l’échange est relativement stable sur la période 1722-1780 entre 0,9 et 1,2, du fait de la hausse conjointe, en moyenne sur la période, des indices de prix à l’exportation et à l’importation. </w:t>
      </w:r>
    </w:p>
    <w:p w14:paraId="28C3F0FC" w14:textId="77777777" w:rsidR="00001A59" w:rsidRPr="00020828" w:rsidRDefault="00001A59" w:rsidP="00001A59">
      <w:pPr>
        <w:autoSpaceDE w:val="0"/>
        <w:autoSpaceDN w:val="0"/>
        <w:adjustRightInd w:val="0"/>
        <w:spacing w:after="0" w:line="240" w:lineRule="auto"/>
        <w:jc w:val="both"/>
        <w:rPr>
          <w:rFonts w:cstheme="minorHAnsi"/>
        </w:rPr>
      </w:pPr>
    </w:p>
    <w:p w14:paraId="0000C107" w14:textId="77777777" w:rsidR="00001A59" w:rsidRPr="00020828" w:rsidRDefault="00001A59" w:rsidP="00001A59">
      <w:pPr>
        <w:autoSpaceDE w:val="0"/>
        <w:autoSpaceDN w:val="0"/>
        <w:adjustRightInd w:val="0"/>
        <w:spacing w:after="0" w:line="240" w:lineRule="auto"/>
        <w:jc w:val="both"/>
        <w:rPr>
          <w:rFonts w:cstheme="minorHAnsi"/>
        </w:rPr>
      </w:pPr>
      <w:r w:rsidRPr="00020828">
        <w:rPr>
          <w:rFonts w:cstheme="minorHAnsi"/>
        </w:rPr>
        <w:t xml:space="preserve">On observe un léger pic en 1732 du fait de la hausse des indices de prix à l’exportation. Ainsi qu’en 1775 avec des indices de prix passant de 1,6 à 2,3. </w:t>
      </w:r>
    </w:p>
    <w:p w14:paraId="37F9D5FA" w14:textId="7CD783A8" w:rsidR="00001A59" w:rsidRDefault="00001A59" w:rsidP="00001A59">
      <w:pPr>
        <w:autoSpaceDE w:val="0"/>
        <w:autoSpaceDN w:val="0"/>
        <w:adjustRightInd w:val="0"/>
        <w:spacing w:after="0" w:line="240" w:lineRule="auto"/>
        <w:jc w:val="both"/>
        <w:rPr>
          <w:rFonts w:cstheme="minorHAnsi"/>
        </w:rPr>
      </w:pPr>
      <w:r w:rsidRPr="00020828">
        <w:rPr>
          <w:rFonts w:cstheme="minorHAnsi"/>
        </w:rPr>
        <w:t xml:space="preserve">Entre 1758 et 1762, les termes de l’échange vont diminuer, atteignant leur niveau le plus bas sur la période (à savoir 0,7), puis une très forte augmentation pour atteindre 2. Ce phénomène s’explique </w:t>
      </w:r>
      <w:r w:rsidRPr="00020828">
        <w:rPr>
          <w:rFonts w:cstheme="minorHAnsi"/>
        </w:rPr>
        <w:lastRenderedPageBreak/>
        <w:t>par une hausse des indices de prix à l’importation a lieu avant la forte augmentation des indices de prix à l’exportation en 1</w:t>
      </w:r>
      <w:r>
        <w:rPr>
          <w:rFonts w:cstheme="minorHAnsi"/>
        </w:rPr>
        <w:t>7</w:t>
      </w:r>
      <w:r w:rsidRPr="00020828">
        <w:rPr>
          <w:rFonts w:cstheme="minorHAnsi"/>
        </w:rPr>
        <w:t>62</w:t>
      </w:r>
      <w:r w:rsidR="00C525F0">
        <w:rPr>
          <w:rFonts w:cstheme="minorHAnsi"/>
        </w:rPr>
        <w:t>.</w:t>
      </w:r>
    </w:p>
    <w:p w14:paraId="0692A6A6" w14:textId="77777777" w:rsidR="00001A59" w:rsidRDefault="00001A59" w:rsidP="00001A59">
      <w:pPr>
        <w:autoSpaceDE w:val="0"/>
        <w:autoSpaceDN w:val="0"/>
        <w:adjustRightInd w:val="0"/>
        <w:spacing w:after="0" w:line="240" w:lineRule="auto"/>
        <w:jc w:val="both"/>
        <w:rPr>
          <w:rFonts w:cstheme="minorHAnsi"/>
        </w:rPr>
      </w:pPr>
    </w:p>
    <w:p w14:paraId="610DBD69" w14:textId="349439A7" w:rsidR="00D540E5" w:rsidRDefault="00001A59" w:rsidP="00066E27">
      <w:pPr>
        <w:autoSpaceDE w:val="0"/>
        <w:autoSpaceDN w:val="0"/>
        <w:adjustRightInd w:val="0"/>
        <w:spacing w:after="0" w:line="240" w:lineRule="auto"/>
        <w:jc w:val="both"/>
        <w:rPr>
          <w:rFonts w:cstheme="minorHAnsi"/>
        </w:rPr>
      </w:pPr>
      <w:r>
        <w:rPr>
          <w:rFonts w:cstheme="minorHAnsi"/>
        </w:rPr>
        <w:t>Les termes de l’échange dans le port de Marseille ne sont pas interprétables à partir de 1780 à cause de l’absence de données entre 1781 et 1788 concernant les importations et les exportations.</w:t>
      </w:r>
    </w:p>
    <w:p w14:paraId="35748254" w14:textId="51B88F01" w:rsidR="00CF40FF" w:rsidRDefault="00CF40FF" w:rsidP="00066E27">
      <w:pPr>
        <w:autoSpaceDE w:val="0"/>
        <w:autoSpaceDN w:val="0"/>
        <w:adjustRightInd w:val="0"/>
        <w:spacing w:after="0" w:line="240" w:lineRule="auto"/>
        <w:jc w:val="both"/>
        <w:rPr>
          <w:rFonts w:cstheme="minorHAnsi"/>
        </w:rPr>
      </w:pPr>
    </w:p>
    <w:p w14:paraId="305305F0" w14:textId="120BBAE4" w:rsidR="00CF40FF" w:rsidRPr="00CF40FF" w:rsidRDefault="00CF40FF" w:rsidP="00066E27">
      <w:pPr>
        <w:autoSpaceDE w:val="0"/>
        <w:autoSpaceDN w:val="0"/>
        <w:adjustRightInd w:val="0"/>
        <w:spacing w:after="0" w:line="240" w:lineRule="auto"/>
        <w:jc w:val="both"/>
        <w:rPr>
          <w:rFonts w:cstheme="minorHAnsi"/>
          <w:b/>
          <w:bCs/>
          <w:color w:val="000000" w:themeColor="text1"/>
        </w:rPr>
      </w:pPr>
      <w:r w:rsidRPr="00CF40FF">
        <w:rPr>
          <w:rFonts w:cstheme="minorHAnsi"/>
          <w:b/>
          <w:bCs/>
          <w:color w:val="000000" w:themeColor="text1"/>
        </w:rPr>
        <w:t xml:space="preserve">Effets fixes années : </w:t>
      </w:r>
    </w:p>
    <w:p w14:paraId="670D7E77" w14:textId="593DC470" w:rsidR="00CF40FF" w:rsidRDefault="00CF40FF" w:rsidP="00066E27">
      <w:pPr>
        <w:autoSpaceDE w:val="0"/>
        <w:autoSpaceDN w:val="0"/>
        <w:adjustRightInd w:val="0"/>
        <w:spacing w:after="0" w:line="240" w:lineRule="auto"/>
        <w:jc w:val="both"/>
        <w:rPr>
          <w:rFonts w:cstheme="minorHAnsi"/>
          <w:b/>
          <w:bCs/>
          <w:color w:val="000000" w:themeColor="text1"/>
        </w:rPr>
      </w:pPr>
      <w:r w:rsidRPr="00CF40FF">
        <w:rPr>
          <w:rFonts w:cstheme="minorHAnsi"/>
          <w:b/>
          <w:bCs/>
          <w:color w:val="000000" w:themeColor="text1"/>
        </w:rPr>
        <w:t xml:space="preserve">A l’exportation : Effet significatif et positif sur l’ensemble de la période. Cependant les coefficients ont tendance à augmenter tout au long de la période. On remarque des coefficients très élevés en 1761 et 1762 (+0,71 et +1,17) et en 1774 (+0,83). Durant la période 1760-1763, on observe un réel effet positif sur l’indice des prix à l’exportation.  </w:t>
      </w:r>
    </w:p>
    <w:p w14:paraId="31A5D16F" w14:textId="41605382" w:rsidR="00CF40FF" w:rsidRDefault="00CF40FF" w:rsidP="00066E27">
      <w:pPr>
        <w:autoSpaceDE w:val="0"/>
        <w:autoSpaceDN w:val="0"/>
        <w:adjustRightInd w:val="0"/>
        <w:spacing w:after="0" w:line="240" w:lineRule="auto"/>
        <w:jc w:val="both"/>
        <w:rPr>
          <w:rFonts w:cstheme="minorHAnsi"/>
          <w:b/>
          <w:bCs/>
          <w:color w:val="000000" w:themeColor="text1"/>
        </w:rPr>
      </w:pPr>
    </w:p>
    <w:p w14:paraId="73AC017E" w14:textId="15AF7ED5" w:rsidR="00081B08" w:rsidRPr="00CF40FF" w:rsidRDefault="00CF40FF" w:rsidP="00066E27">
      <w:pPr>
        <w:autoSpaceDE w:val="0"/>
        <w:autoSpaceDN w:val="0"/>
        <w:adjustRightInd w:val="0"/>
        <w:spacing w:after="0" w:line="240" w:lineRule="auto"/>
        <w:jc w:val="both"/>
        <w:rPr>
          <w:rFonts w:cstheme="minorHAnsi"/>
          <w:b/>
          <w:bCs/>
          <w:color w:val="000000" w:themeColor="text1"/>
        </w:rPr>
      </w:pPr>
      <w:r>
        <w:rPr>
          <w:rFonts w:cstheme="minorHAnsi"/>
          <w:b/>
          <w:bCs/>
          <w:color w:val="000000" w:themeColor="text1"/>
        </w:rPr>
        <w:t xml:space="preserve">A l’importation : </w:t>
      </w:r>
      <w:r w:rsidR="00081B08">
        <w:rPr>
          <w:rFonts w:cstheme="minorHAnsi"/>
          <w:b/>
          <w:bCs/>
          <w:color w:val="000000" w:themeColor="text1"/>
        </w:rPr>
        <w:t xml:space="preserve">Effet significatif et négatif sur l’ensemble de la période. On observe des effets relativement plus importants en 1741 et 1741 (-0,73), en 1746 (-0,95), et en 1749 (-0,95). La période 1775-1780 est marquée par des coefficients négatifs élevés (entre -0,80 et -1,20). </w:t>
      </w:r>
    </w:p>
    <w:p w14:paraId="48781CA9" w14:textId="77777777" w:rsidR="00C525F0" w:rsidRPr="00020828" w:rsidRDefault="00C525F0" w:rsidP="00066E27">
      <w:pPr>
        <w:autoSpaceDE w:val="0"/>
        <w:autoSpaceDN w:val="0"/>
        <w:adjustRightInd w:val="0"/>
        <w:spacing w:after="0" w:line="240" w:lineRule="auto"/>
        <w:jc w:val="both"/>
        <w:rPr>
          <w:rFonts w:cstheme="minorHAnsi"/>
        </w:rPr>
      </w:pPr>
    </w:p>
    <w:p w14:paraId="15298AE7" w14:textId="4BD0570E" w:rsidR="00066E27" w:rsidRDefault="00066E27" w:rsidP="00066E27">
      <w:pPr>
        <w:autoSpaceDE w:val="0"/>
        <w:autoSpaceDN w:val="0"/>
        <w:adjustRightInd w:val="0"/>
        <w:spacing w:after="0" w:line="240" w:lineRule="auto"/>
        <w:jc w:val="both"/>
        <w:rPr>
          <w:rFonts w:cstheme="minorHAnsi"/>
          <w:color w:val="0070C0"/>
          <w:sz w:val="24"/>
          <w:szCs w:val="24"/>
        </w:rPr>
      </w:pPr>
      <w:r w:rsidRPr="00087C68">
        <w:rPr>
          <w:rFonts w:cstheme="minorHAnsi"/>
          <w:color w:val="0070C0"/>
          <w:sz w:val="24"/>
          <w:szCs w:val="24"/>
        </w:rPr>
        <w:t xml:space="preserve">Nantes : </w:t>
      </w:r>
    </w:p>
    <w:p w14:paraId="205E8A6C" w14:textId="7A253BF3" w:rsidR="00066E27" w:rsidRDefault="00335221" w:rsidP="00066E27">
      <w:pPr>
        <w:rPr>
          <w:rFonts w:cstheme="minorHAnsi"/>
          <w:sz w:val="28"/>
          <w:szCs w:val="28"/>
        </w:rPr>
      </w:pPr>
      <w:r>
        <w:rPr>
          <w:rFonts w:cstheme="minorHAnsi"/>
          <w:sz w:val="28"/>
          <w:szCs w:val="28"/>
        </w:rPr>
        <w:object w:dxaOrig="3960" w:dyaOrig="2880" w14:anchorId="7D545A70">
          <v:shape id="_x0000_i1041" type="#_x0000_t75" style="width:297.25pt;height:216.55pt" o:ole="">
            <v:imagedata r:id="rId39" o:title=""/>
          </v:shape>
          <o:OLEObject Type="Embed" ProgID="AcroExch.Document.DC" ShapeID="_x0000_i1041" DrawAspect="Content" ObjectID="_1644397670" r:id="rId40"/>
        </w:object>
      </w:r>
    </w:p>
    <w:p w14:paraId="3934A578" w14:textId="6F1DAD9B" w:rsidR="00C525F0" w:rsidRDefault="00C525F0" w:rsidP="00C525F0">
      <w:pPr>
        <w:jc w:val="both"/>
        <w:rPr>
          <w:rFonts w:cstheme="minorHAnsi"/>
        </w:rPr>
      </w:pPr>
      <w:r w:rsidRPr="00176BD4">
        <w:rPr>
          <w:rFonts w:cstheme="minorHAnsi"/>
        </w:rPr>
        <w:t xml:space="preserve">De manière générale </w:t>
      </w:r>
      <w:r>
        <w:rPr>
          <w:rFonts w:cstheme="minorHAnsi"/>
        </w:rPr>
        <w:t>entre 1730 et 1780, on observe une hausse en moyenne des termes de l’échange sur la période.</w:t>
      </w:r>
    </w:p>
    <w:p w14:paraId="69272F36" w14:textId="1022CE80" w:rsidR="00C525F0" w:rsidRDefault="00C525F0" w:rsidP="00C525F0">
      <w:pPr>
        <w:jc w:val="both"/>
        <w:rPr>
          <w:rFonts w:cstheme="minorHAnsi"/>
        </w:rPr>
      </w:pPr>
      <w:r>
        <w:rPr>
          <w:rFonts w:cstheme="minorHAnsi"/>
        </w:rPr>
        <w:t>Les deux pics observés sur le graphique, à savoir en 1748 et 1760 sont provoqués par deux chutes importantes des indices de prix à l’importation.</w:t>
      </w:r>
    </w:p>
    <w:p w14:paraId="0179D031" w14:textId="08A16BD4" w:rsidR="00C525F0" w:rsidRDefault="00C525F0" w:rsidP="00C525F0">
      <w:pPr>
        <w:jc w:val="both"/>
        <w:rPr>
          <w:rFonts w:cstheme="minorHAnsi"/>
        </w:rPr>
      </w:pPr>
      <w:r>
        <w:rPr>
          <w:rFonts w:cstheme="minorHAnsi"/>
        </w:rPr>
        <w:t xml:space="preserve">L’évolution des termes de l’échange ne sont pas interprétables entre 1780 et 1788 à cause d’un manque de données sur les importations et exportations. </w:t>
      </w:r>
    </w:p>
    <w:p w14:paraId="33B24B34" w14:textId="778B7B85" w:rsidR="00081B08" w:rsidRPr="00081B08" w:rsidRDefault="00081B08" w:rsidP="00C525F0">
      <w:pPr>
        <w:jc w:val="both"/>
        <w:rPr>
          <w:rFonts w:cstheme="minorHAnsi"/>
          <w:b/>
          <w:bCs/>
        </w:rPr>
      </w:pPr>
      <w:r w:rsidRPr="00081B08">
        <w:rPr>
          <w:rFonts w:cstheme="minorHAnsi"/>
          <w:b/>
          <w:bCs/>
        </w:rPr>
        <w:t xml:space="preserve">Effets fixes années : </w:t>
      </w:r>
    </w:p>
    <w:p w14:paraId="3D0EA529" w14:textId="692E002E" w:rsidR="00081B08" w:rsidRPr="00081B08" w:rsidRDefault="00081B08" w:rsidP="00C525F0">
      <w:pPr>
        <w:jc w:val="both"/>
        <w:rPr>
          <w:rFonts w:cstheme="minorHAnsi"/>
          <w:b/>
          <w:bCs/>
        </w:rPr>
      </w:pPr>
      <w:r w:rsidRPr="00081B08">
        <w:rPr>
          <w:rFonts w:cstheme="minorHAnsi"/>
          <w:b/>
          <w:bCs/>
        </w:rPr>
        <w:t xml:space="preserve">A l’exportation : </w:t>
      </w:r>
      <w:r w:rsidR="00C928B8">
        <w:rPr>
          <w:rFonts w:cstheme="minorHAnsi"/>
          <w:b/>
          <w:bCs/>
        </w:rPr>
        <w:t>On observe des effets significatifs et positifs sur l’indice des prix à l’exportation en 1746 (0,88), en 1766 (0,66) et en 1778-1779 (0,25 et 0,44). Les coefficients ne sont pas significatifs pour le reste de la période.</w:t>
      </w:r>
    </w:p>
    <w:p w14:paraId="33F7F37C" w14:textId="77777777" w:rsidR="00C928B8" w:rsidRDefault="00081B08" w:rsidP="00C525F0">
      <w:pPr>
        <w:jc w:val="both"/>
        <w:rPr>
          <w:rFonts w:cstheme="minorHAnsi"/>
          <w:b/>
          <w:bCs/>
        </w:rPr>
      </w:pPr>
      <w:r w:rsidRPr="00081B08">
        <w:rPr>
          <w:rFonts w:cstheme="minorHAnsi"/>
          <w:b/>
          <w:bCs/>
        </w:rPr>
        <w:t xml:space="preserve">A l’importation : </w:t>
      </w:r>
      <w:r w:rsidR="00C928B8">
        <w:rPr>
          <w:rFonts w:cstheme="minorHAnsi"/>
          <w:b/>
          <w:bCs/>
        </w:rPr>
        <w:t>On observe des effets significatifs et négatif en 1759 (-0,75), en 1760 (-1,97) et en 1763 (-0,77) donc principalement durant la guerre de Sept Ans.</w:t>
      </w:r>
    </w:p>
    <w:p w14:paraId="14AD8465" w14:textId="5FA765C4" w:rsidR="00081B08" w:rsidRPr="00081B08" w:rsidRDefault="00C928B8" w:rsidP="00C525F0">
      <w:pPr>
        <w:jc w:val="both"/>
        <w:rPr>
          <w:rFonts w:cstheme="minorHAnsi"/>
          <w:b/>
          <w:bCs/>
        </w:rPr>
      </w:pPr>
      <w:r>
        <w:rPr>
          <w:rFonts w:cstheme="minorHAnsi"/>
          <w:b/>
          <w:bCs/>
        </w:rPr>
        <w:t xml:space="preserve"> </w:t>
      </w:r>
    </w:p>
    <w:p w14:paraId="54D4FB73" w14:textId="5D2D279B" w:rsidR="00AF106E" w:rsidRDefault="00CC2126" w:rsidP="00AF106E">
      <w:pPr>
        <w:autoSpaceDE w:val="0"/>
        <w:autoSpaceDN w:val="0"/>
        <w:adjustRightInd w:val="0"/>
        <w:spacing w:after="0" w:line="240" w:lineRule="auto"/>
        <w:jc w:val="both"/>
        <w:rPr>
          <w:rFonts w:cstheme="minorHAnsi"/>
          <w:color w:val="0070C0"/>
          <w:sz w:val="24"/>
          <w:szCs w:val="24"/>
        </w:rPr>
      </w:pPr>
      <w:r>
        <w:rPr>
          <w:rFonts w:cstheme="minorHAnsi"/>
        </w:rPr>
        <w:lastRenderedPageBreak/>
        <w:t xml:space="preserve"> </w:t>
      </w:r>
      <w:r w:rsidR="00AF106E">
        <w:rPr>
          <w:rFonts w:cstheme="minorHAnsi"/>
          <w:color w:val="0070C0"/>
          <w:sz w:val="24"/>
          <w:szCs w:val="24"/>
        </w:rPr>
        <w:t>Rennes</w:t>
      </w:r>
      <w:r w:rsidR="00AF106E" w:rsidRPr="00087C68">
        <w:rPr>
          <w:rFonts w:cstheme="minorHAnsi"/>
          <w:color w:val="0070C0"/>
          <w:sz w:val="24"/>
          <w:szCs w:val="24"/>
        </w:rPr>
        <w:t xml:space="preserve"> : </w:t>
      </w:r>
    </w:p>
    <w:p w14:paraId="4371A757" w14:textId="043B9DD1" w:rsidR="00CC2126" w:rsidRDefault="00335221" w:rsidP="00176BD4">
      <w:pPr>
        <w:jc w:val="both"/>
        <w:rPr>
          <w:rFonts w:cstheme="minorHAnsi"/>
        </w:rPr>
      </w:pPr>
      <w:r>
        <w:rPr>
          <w:rFonts w:cstheme="minorHAnsi"/>
        </w:rPr>
        <w:object w:dxaOrig="3960" w:dyaOrig="2880" w14:anchorId="44757E66">
          <v:shape id="_x0000_i1042" type="#_x0000_t75" style="width:295.65pt;height:215.45pt" o:ole="">
            <v:imagedata r:id="rId41" o:title=""/>
          </v:shape>
          <o:OLEObject Type="Embed" ProgID="AcroExch.Document.DC" ShapeID="_x0000_i1042" DrawAspect="Content" ObjectID="_1644397671" r:id="rId42"/>
        </w:object>
      </w:r>
    </w:p>
    <w:p w14:paraId="7E220E06" w14:textId="1DC20870" w:rsidR="00496342" w:rsidRDefault="00496342" w:rsidP="00176BD4">
      <w:pPr>
        <w:jc w:val="both"/>
        <w:rPr>
          <w:rFonts w:cstheme="minorHAnsi"/>
        </w:rPr>
      </w:pPr>
      <w:r>
        <w:rPr>
          <w:rFonts w:cstheme="minorHAnsi"/>
        </w:rPr>
        <w:t xml:space="preserve">Entre 1747 et 1757, les termes de l’échange ont tendance à augmenter du fait de la hausse des indices de prix à l’exportation. La période qui suit jusqu’en 1770 est marquée par une baisse des termes de l’échange liée à la baisse des indices de prix à l’exportation. Entre 1768 et 1780, les indices de prix à l’exportation augmentent tandis que les indices à l’importation diminuent entre 1770 et 1778. Ces phénomènes impliquent une hausse des termes de l’échange dans le port de Rennes. </w:t>
      </w:r>
    </w:p>
    <w:p w14:paraId="37CA81E9" w14:textId="2319C16B" w:rsidR="0052325D" w:rsidRPr="00C928B8" w:rsidRDefault="00C928B8" w:rsidP="00176BD4">
      <w:pPr>
        <w:jc w:val="both"/>
        <w:rPr>
          <w:rFonts w:cstheme="minorHAnsi"/>
          <w:b/>
          <w:bCs/>
        </w:rPr>
      </w:pPr>
      <w:r w:rsidRPr="00C928B8">
        <w:rPr>
          <w:rFonts w:cstheme="minorHAnsi"/>
          <w:b/>
          <w:bCs/>
        </w:rPr>
        <w:t xml:space="preserve">Effets fixes années : </w:t>
      </w:r>
    </w:p>
    <w:p w14:paraId="2E1DEBEE" w14:textId="67980CAD" w:rsidR="00C928B8" w:rsidRPr="00C928B8" w:rsidRDefault="00C928B8" w:rsidP="00176BD4">
      <w:pPr>
        <w:jc w:val="both"/>
        <w:rPr>
          <w:rFonts w:cstheme="minorHAnsi"/>
          <w:b/>
          <w:bCs/>
        </w:rPr>
      </w:pPr>
      <w:r w:rsidRPr="00C928B8">
        <w:rPr>
          <w:rFonts w:cstheme="minorHAnsi"/>
          <w:b/>
          <w:bCs/>
        </w:rPr>
        <w:t xml:space="preserve">A l’exportation : </w:t>
      </w:r>
      <w:r>
        <w:rPr>
          <w:rFonts w:cstheme="minorHAnsi"/>
          <w:b/>
          <w:bCs/>
        </w:rPr>
        <w:t xml:space="preserve">Les coefficients sont significatifs et positifs sur la période (sauf en 1760 </w:t>
      </w:r>
      <w:r w:rsidR="008C0EB0">
        <w:rPr>
          <w:rFonts w:cstheme="minorHAnsi"/>
          <w:b/>
          <w:bCs/>
        </w:rPr>
        <w:t xml:space="preserve">avec un coefficient négatif -0,13). L’amplitude des coefficients reste stable tout au long de la période. </w:t>
      </w:r>
    </w:p>
    <w:p w14:paraId="37D7C0F6" w14:textId="5D415139" w:rsidR="00C928B8" w:rsidRPr="00C928B8" w:rsidRDefault="00C928B8" w:rsidP="00176BD4">
      <w:pPr>
        <w:jc w:val="both"/>
        <w:rPr>
          <w:rFonts w:cstheme="minorHAnsi"/>
          <w:b/>
          <w:bCs/>
        </w:rPr>
      </w:pPr>
      <w:r w:rsidRPr="00C928B8">
        <w:rPr>
          <w:rFonts w:cstheme="minorHAnsi"/>
          <w:b/>
          <w:bCs/>
        </w:rPr>
        <w:t xml:space="preserve">A l’importation : </w:t>
      </w:r>
      <w:r w:rsidR="008C0EB0">
        <w:rPr>
          <w:rFonts w:cstheme="minorHAnsi"/>
          <w:b/>
          <w:bCs/>
        </w:rPr>
        <w:t>On observe en 1752, un coefficient significatif et positif (0,42). En 1760, le coefficient est significatif et négatif (-0,44). En 1766, un coefficient significatif et positif (0,62). Aucune tendance ne se dégage vraiment.</w:t>
      </w:r>
    </w:p>
    <w:p w14:paraId="20386A72" w14:textId="2F586112" w:rsidR="0052325D" w:rsidRDefault="0052325D" w:rsidP="00176BD4">
      <w:pPr>
        <w:jc w:val="both"/>
        <w:rPr>
          <w:rFonts w:cstheme="minorHAnsi"/>
        </w:rPr>
      </w:pPr>
    </w:p>
    <w:p w14:paraId="6C90B838" w14:textId="500836A9" w:rsidR="0052325D" w:rsidRPr="00664449" w:rsidRDefault="0052325D" w:rsidP="00176BD4">
      <w:pPr>
        <w:jc w:val="both"/>
        <w:rPr>
          <w:rFonts w:cstheme="minorHAnsi"/>
          <w:color w:val="0070C0"/>
          <w:sz w:val="32"/>
          <w:szCs w:val="32"/>
        </w:rPr>
      </w:pPr>
      <w:r w:rsidRPr="00664449">
        <w:rPr>
          <w:rFonts w:cstheme="minorHAnsi"/>
          <w:color w:val="0070C0"/>
          <w:sz w:val="32"/>
          <w:szCs w:val="32"/>
        </w:rPr>
        <w:t xml:space="preserve">France : </w:t>
      </w:r>
    </w:p>
    <w:p w14:paraId="6625C310" w14:textId="189DBE51" w:rsidR="0052325D" w:rsidRDefault="0052325D" w:rsidP="00176BD4">
      <w:pPr>
        <w:jc w:val="both"/>
        <w:rPr>
          <w:rFonts w:cstheme="minorHAnsi"/>
        </w:rPr>
      </w:pPr>
      <w:r>
        <w:rPr>
          <w:rFonts w:cstheme="minorHAnsi"/>
        </w:rPr>
        <w:object w:dxaOrig="3960" w:dyaOrig="2880" w14:anchorId="61B40770">
          <v:shape id="_x0000_i1043" type="#_x0000_t75" style="width:220.35pt;height:160.35pt" o:ole="">
            <v:imagedata r:id="rId43" o:title=""/>
          </v:shape>
          <o:OLEObject Type="Embed" ProgID="AcroExch.Document.DC" ShapeID="_x0000_i1043" DrawAspect="Content" ObjectID="_1644397672" r:id="rId44"/>
        </w:object>
      </w:r>
      <w:r>
        <w:rPr>
          <w:rFonts w:cstheme="minorHAnsi"/>
        </w:rPr>
        <w:object w:dxaOrig="3960" w:dyaOrig="2880" w14:anchorId="59C7B374">
          <v:shape id="_x0000_i1044" type="#_x0000_t75" style="width:219.8pt;height:159.8pt" o:ole="">
            <v:imagedata r:id="rId45" o:title=""/>
          </v:shape>
          <o:OLEObject Type="Embed" ProgID="AcroExch.Document.DC" ShapeID="_x0000_i1044" DrawAspect="Content" ObjectID="_1644397673" r:id="rId46"/>
        </w:object>
      </w:r>
    </w:p>
    <w:p w14:paraId="6FA83D66" w14:textId="31A2D2DA" w:rsidR="0052325D" w:rsidRDefault="0052325D" w:rsidP="00176BD4">
      <w:pPr>
        <w:jc w:val="both"/>
        <w:rPr>
          <w:rFonts w:cstheme="minorHAnsi"/>
        </w:rPr>
      </w:pPr>
      <w:r>
        <w:rPr>
          <w:rFonts w:cstheme="minorHAnsi"/>
        </w:rPr>
        <w:object w:dxaOrig="3960" w:dyaOrig="2880" w14:anchorId="17C2B977">
          <v:shape id="_x0000_i1045" type="#_x0000_t75" style="width:355.65pt;height:258.55pt" o:ole="">
            <v:imagedata r:id="rId47" o:title=""/>
          </v:shape>
          <o:OLEObject Type="Embed" ProgID="AcroExch.Document.DC" ShapeID="_x0000_i1045" DrawAspect="Content" ObjectID="_1644397674" r:id="rId48"/>
        </w:object>
      </w:r>
    </w:p>
    <w:p w14:paraId="5BCED3B6" w14:textId="3D47545E" w:rsidR="00521734" w:rsidRPr="007831A4" w:rsidRDefault="007831A4" w:rsidP="00176BD4">
      <w:pPr>
        <w:jc w:val="both"/>
        <w:rPr>
          <w:rFonts w:cstheme="minorHAnsi"/>
          <w:b/>
          <w:bCs/>
          <w:color w:val="000000" w:themeColor="text1"/>
        </w:rPr>
      </w:pPr>
      <w:r w:rsidRPr="007831A4">
        <w:rPr>
          <w:rFonts w:cstheme="minorHAnsi"/>
          <w:b/>
          <w:bCs/>
          <w:color w:val="000000" w:themeColor="text1"/>
        </w:rPr>
        <w:t xml:space="preserve">Effets fixes années : </w:t>
      </w:r>
    </w:p>
    <w:p w14:paraId="747C70C3" w14:textId="5B41D01B" w:rsidR="007831A4" w:rsidRPr="007831A4" w:rsidRDefault="007831A4" w:rsidP="00176BD4">
      <w:pPr>
        <w:jc w:val="both"/>
        <w:rPr>
          <w:rFonts w:cstheme="minorHAnsi"/>
          <w:b/>
          <w:bCs/>
          <w:color w:val="000000" w:themeColor="text1"/>
        </w:rPr>
      </w:pPr>
      <w:r w:rsidRPr="007831A4">
        <w:rPr>
          <w:rFonts w:cstheme="minorHAnsi"/>
          <w:b/>
          <w:bCs/>
          <w:color w:val="000000" w:themeColor="text1"/>
        </w:rPr>
        <w:t>A l’exportation : Coefficient significatif et positif en 1788 : 0,39</w:t>
      </w:r>
    </w:p>
    <w:p w14:paraId="06D97C9F" w14:textId="415C394A" w:rsidR="007831A4" w:rsidRPr="007831A4" w:rsidRDefault="007831A4" w:rsidP="00176BD4">
      <w:pPr>
        <w:jc w:val="both"/>
        <w:rPr>
          <w:rFonts w:cstheme="minorHAnsi"/>
          <w:b/>
          <w:bCs/>
          <w:color w:val="000000" w:themeColor="text1"/>
        </w:rPr>
      </w:pPr>
      <w:r w:rsidRPr="007831A4">
        <w:rPr>
          <w:rFonts w:cstheme="minorHAnsi"/>
          <w:b/>
          <w:bCs/>
          <w:color w:val="000000" w:themeColor="text1"/>
        </w:rPr>
        <w:t>A l’importation : On observe en 1786, un coefficient significatif et négatif (-0,55). En 1787-1788, les coefficients sont de 0,30 en moyenne. Et de 1,25 en 1792.</w:t>
      </w:r>
    </w:p>
    <w:p w14:paraId="6E4F4147" w14:textId="4A16BE97" w:rsidR="0052325D" w:rsidRDefault="0052325D" w:rsidP="00176BD4">
      <w:pPr>
        <w:jc w:val="both"/>
        <w:rPr>
          <w:rFonts w:cstheme="minorHAnsi"/>
        </w:rPr>
      </w:pPr>
      <w:r>
        <w:rPr>
          <w:rFonts w:cstheme="minorHAnsi"/>
        </w:rPr>
        <w:object w:dxaOrig="3960" w:dyaOrig="2880" w14:anchorId="40748C1B">
          <v:shape id="_x0000_i1046" type="#_x0000_t75" style="width:211.1pt;height:153.25pt" o:ole="">
            <v:imagedata r:id="rId49" o:title=""/>
          </v:shape>
          <o:OLEObject Type="Embed" ProgID="AcroExch.Document.DC" ShapeID="_x0000_i1046" DrawAspect="Content" ObjectID="_1644397675" r:id="rId50"/>
        </w:object>
      </w:r>
      <w:r>
        <w:rPr>
          <w:rFonts w:cstheme="minorHAnsi"/>
        </w:rPr>
        <w:object w:dxaOrig="3960" w:dyaOrig="2880" w14:anchorId="2C4799B9">
          <v:shape id="_x0000_i1047" type="#_x0000_t75" style="width:210pt;height:152.75pt" o:ole="">
            <v:imagedata r:id="rId51" o:title=""/>
          </v:shape>
          <o:OLEObject Type="Embed" ProgID="AcroExch.Document.DC" ShapeID="_x0000_i1047" DrawAspect="Content" ObjectID="_1644397676" r:id="rId52"/>
        </w:object>
      </w:r>
    </w:p>
    <w:p w14:paraId="7370C503" w14:textId="75FF9F09" w:rsidR="0052325D" w:rsidRDefault="0052325D" w:rsidP="00176BD4">
      <w:pPr>
        <w:jc w:val="both"/>
        <w:rPr>
          <w:rFonts w:cstheme="minorHAnsi"/>
        </w:rPr>
      </w:pPr>
      <w:r>
        <w:rPr>
          <w:rFonts w:cstheme="minorHAnsi"/>
        </w:rPr>
        <w:object w:dxaOrig="3960" w:dyaOrig="2880" w14:anchorId="1D04365F">
          <v:shape id="_x0000_i1048" type="#_x0000_t75" style="width:351.8pt;height:255.8pt" o:ole="">
            <v:imagedata r:id="rId53" o:title=""/>
          </v:shape>
          <o:OLEObject Type="Embed" ProgID="AcroExch.Document.DC" ShapeID="_x0000_i1048" DrawAspect="Content" ObjectID="_1644397677" r:id="rId54"/>
        </w:object>
      </w:r>
    </w:p>
    <w:p w14:paraId="257A6949" w14:textId="79540C8B" w:rsidR="00521734" w:rsidRPr="007831A4" w:rsidRDefault="007831A4" w:rsidP="00176BD4">
      <w:pPr>
        <w:jc w:val="both"/>
        <w:rPr>
          <w:rFonts w:cstheme="minorHAnsi"/>
          <w:b/>
          <w:bCs/>
        </w:rPr>
      </w:pPr>
      <w:r w:rsidRPr="007831A4">
        <w:rPr>
          <w:rFonts w:cstheme="minorHAnsi"/>
          <w:b/>
          <w:bCs/>
        </w:rPr>
        <w:t xml:space="preserve">Effets fixes années : </w:t>
      </w:r>
    </w:p>
    <w:p w14:paraId="2872357F" w14:textId="5ABAE438" w:rsidR="007831A4" w:rsidRPr="007831A4" w:rsidRDefault="007831A4" w:rsidP="00176BD4">
      <w:pPr>
        <w:jc w:val="both"/>
        <w:rPr>
          <w:rFonts w:cstheme="minorHAnsi"/>
          <w:b/>
          <w:bCs/>
        </w:rPr>
      </w:pPr>
      <w:r w:rsidRPr="007831A4">
        <w:rPr>
          <w:rFonts w:cstheme="minorHAnsi"/>
          <w:b/>
          <w:bCs/>
        </w:rPr>
        <w:t>A l’exportation : On observe entre 1819 et 1823 que les coefficients sont significatifs et négatifs. Passant de -0,34 en 1919 à -0 ,71 en 1823 avec un pic à -0,75 en 1821.</w:t>
      </w:r>
    </w:p>
    <w:p w14:paraId="4ED20CB6" w14:textId="11494279" w:rsidR="007831A4" w:rsidRPr="007831A4" w:rsidRDefault="007831A4" w:rsidP="00176BD4">
      <w:pPr>
        <w:jc w:val="both"/>
        <w:rPr>
          <w:rFonts w:cstheme="minorHAnsi"/>
          <w:b/>
          <w:bCs/>
        </w:rPr>
      </w:pPr>
      <w:r w:rsidRPr="007831A4">
        <w:rPr>
          <w:rFonts w:cstheme="minorHAnsi"/>
          <w:b/>
          <w:bCs/>
        </w:rPr>
        <w:t>A l’importation : Les coefficients sont significatifs et négatifs sur la période. Partant de -0,21 en 1816 et atteignant -1,05 en 1823.</w:t>
      </w:r>
      <w:bookmarkStart w:id="0" w:name="_GoBack"/>
      <w:bookmarkEnd w:id="0"/>
    </w:p>
    <w:p w14:paraId="62D9BDE1" w14:textId="2176F4A4" w:rsidR="00B3046D" w:rsidRDefault="00B3046D" w:rsidP="00176BD4">
      <w:pPr>
        <w:jc w:val="both"/>
        <w:rPr>
          <w:rFonts w:cstheme="minorHAnsi"/>
        </w:rPr>
      </w:pPr>
      <w:r w:rsidRPr="002949F5">
        <w:rPr>
          <w:rFonts w:cstheme="minorHAnsi"/>
          <w:b/>
          <w:bCs/>
        </w:rPr>
        <w:t>Part dans le commerce total</w:t>
      </w:r>
      <w:r>
        <w:rPr>
          <w:rFonts w:cstheme="minorHAnsi"/>
        </w:rPr>
        <w:t> : (valeur)</w:t>
      </w:r>
    </w:p>
    <w:tbl>
      <w:tblPr>
        <w:tblStyle w:val="Grilledutableau"/>
        <w:tblW w:w="0" w:type="auto"/>
        <w:tblLook w:val="04A0" w:firstRow="1" w:lastRow="0" w:firstColumn="1" w:lastColumn="0" w:noHBand="0" w:noVBand="1"/>
      </w:tblPr>
      <w:tblGrid>
        <w:gridCol w:w="3021"/>
        <w:gridCol w:w="3021"/>
      </w:tblGrid>
      <w:tr w:rsidR="00B3046D" w14:paraId="60923E4C" w14:textId="77777777" w:rsidTr="00B3046D">
        <w:tc>
          <w:tcPr>
            <w:tcW w:w="3021" w:type="dxa"/>
            <w:vMerge w:val="restart"/>
          </w:tcPr>
          <w:p w14:paraId="43F69E4D" w14:textId="0DD495F9" w:rsidR="00B3046D" w:rsidRDefault="00B3046D" w:rsidP="00176BD4">
            <w:pPr>
              <w:jc w:val="both"/>
              <w:rPr>
                <w:rFonts w:cstheme="minorHAnsi"/>
              </w:rPr>
            </w:pPr>
            <w:r>
              <w:rPr>
                <w:rFonts w:cstheme="minorHAnsi"/>
              </w:rPr>
              <w:t>Bayonne : 2,13%</w:t>
            </w:r>
          </w:p>
        </w:tc>
        <w:tc>
          <w:tcPr>
            <w:tcW w:w="3021" w:type="dxa"/>
          </w:tcPr>
          <w:p w14:paraId="6723B98D" w14:textId="29FFA561" w:rsidR="00B3046D" w:rsidRDefault="00B3046D" w:rsidP="00176BD4">
            <w:pPr>
              <w:jc w:val="both"/>
              <w:rPr>
                <w:rFonts w:cstheme="minorHAnsi"/>
              </w:rPr>
            </w:pPr>
            <w:r>
              <w:rPr>
                <w:rFonts w:cstheme="minorHAnsi"/>
              </w:rPr>
              <w:t>Exports : 1,33%</w:t>
            </w:r>
          </w:p>
        </w:tc>
      </w:tr>
      <w:tr w:rsidR="00B3046D" w14:paraId="3E63D3DF" w14:textId="77777777" w:rsidTr="00B3046D">
        <w:tc>
          <w:tcPr>
            <w:tcW w:w="3021" w:type="dxa"/>
            <w:vMerge/>
          </w:tcPr>
          <w:p w14:paraId="1A4AB0AA" w14:textId="77777777" w:rsidR="00B3046D" w:rsidRDefault="00B3046D" w:rsidP="00176BD4">
            <w:pPr>
              <w:jc w:val="both"/>
              <w:rPr>
                <w:rFonts w:cstheme="minorHAnsi"/>
              </w:rPr>
            </w:pPr>
          </w:p>
        </w:tc>
        <w:tc>
          <w:tcPr>
            <w:tcW w:w="3021" w:type="dxa"/>
          </w:tcPr>
          <w:p w14:paraId="3E683270" w14:textId="0487B502" w:rsidR="00B3046D" w:rsidRDefault="00B3046D" w:rsidP="00176BD4">
            <w:pPr>
              <w:jc w:val="both"/>
              <w:rPr>
                <w:rFonts w:cstheme="minorHAnsi"/>
              </w:rPr>
            </w:pPr>
            <w:r>
              <w:rPr>
                <w:rFonts w:cstheme="minorHAnsi"/>
              </w:rPr>
              <w:t>Imports : 0,81%</w:t>
            </w:r>
          </w:p>
        </w:tc>
      </w:tr>
      <w:tr w:rsidR="00B3046D" w14:paraId="3D0B0C39" w14:textId="77777777" w:rsidTr="00B3046D">
        <w:tc>
          <w:tcPr>
            <w:tcW w:w="3021" w:type="dxa"/>
            <w:vMerge w:val="restart"/>
          </w:tcPr>
          <w:p w14:paraId="72DD5727" w14:textId="7314A010" w:rsidR="00B3046D" w:rsidRDefault="00B3046D" w:rsidP="00B3046D">
            <w:pPr>
              <w:jc w:val="both"/>
              <w:rPr>
                <w:rFonts w:cstheme="minorHAnsi"/>
              </w:rPr>
            </w:pPr>
            <w:r>
              <w:rPr>
                <w:rFonts w:cstheme="minorHAnsi"/>
              </w:rPr>
              <w:t>Bordeaux : 12,70%</w:t>
            </w:r>
          </w:p>
        </w:tc>
        <w:tc>
          <w:tcPr>
            <w:tcW w:w="3021" w:type="dxa"/>
          </w:tcPr>
          <w:p w14:paraId="3065661C" w14:textId="09788B7A" w:rsidR="00B3046D" w:rsidRDefault="00B3046D" w:rsidP="00B3046D">
            <w:pPr>
              <w:jc w:val="both"/>
              <w:rPr>
                <w:rFonts w:cstheme="minorHAnsi"/>
              </w:rPr>
            </w:pPr>
            <w:r>
              <w:rPr>
                <w:rFonts w:cstheme="minorHAnsi"/>
              </w:rPr>
              <w:t>Exports : 6,41%</w:t>
            </w:r>
          </w:p>
        </w:tc>
      </w:tr>
      <w:tr w:rsidR="00B3046D" w14:paraId="3423D420" w14:textId="77777777" w:rsidTr="00B3046D">
        <w:tc>
          <w:tcPr>
            <w:tcW w:w="3021" w:type="dxa"/>
            <w:vMerge/>
          </w:tcPr>
          <w:p w14:paraId="2A611459" w14:textId="77777777" w:rsidR="00B3046D" w:rsidRDefault="00B3046D" w:rsidP="00B3046D">
            <w:pPr>
              <w:jc w:val="both"/>
              <w:rPr>
                <w:rFonts w:cstheme="minorHAnsi"/>
              </w:rPr>
            </w:pPr>
          </w:p>
        </w:tc>
        <w:tc>
          <w:tcPr>
            <w:tcW w:w="3021" w:type="dxa"/>
          </w:tcPr>
          <w:p w14:paraId="6956706C" w14:textId="2E604DE5" w:rsidR="00B3046D" w:rsidRDefault="00B3046D" w:rsidP="00B3046D">
            <w:pPr>
              <w:jc w:val="both"/>
              <w:rPr>
                <w:rFonts w:cstheme="minorHAnsi"/>
              </w:rPr>
            </w:pPr>
            <w:r>
              <w:rPr>
                <w:rFonts w:cstheme="minorHAnsi"/>
              </w:rPr>
              <w:t>Imports : 6,29%</w:t>
            </w:r>
          </w:p>
        </w:tc>
      </w:tr>
      <w:tr w:rsidR="00B3046D" w14:paraId="5DA4C06A" w14:textId="77777777" w:rsidTr="00B3046D">
        <w:tc>
          <w:tcPr>
            <w:tcW w:w="3021" w:type="dxa"/>
            <w:vMerge w:val="restart"/>
          </w:tcPr>
          <w:p w14:paraId="1AFC3653" w14:textId="3778445B" w:rsidR="00B3046D" w:rsidRDefault="00B3046D" w:rsidP="00B3046D">
            <w:pPr>
              <w:jc w:val="both"/>
              <w:rPr>
                <w:rFonts w:cstheme="minorHAnsi"/>
              </w:rPr>
            </w:pPr>
            <w:r>
              <w:rPr>
                <w:rFonts w:cstheme="minorHAnsi"/>
              </w:rPr>
              <w:t>La Rochelle : 2,64%</w:t>
            </w:r>
          </w:p>
        </w:tc>
        <w:tc>
          <w:tcPr>
            <w:tcW w:w="3021" w:type="dxa"/>
          </w:tcPr>
          <w:p w14:paraId="58BCCA2B" w14:textId="660AE097" w:rsidR="00B3046D" w:rsidRDefault="00B3046D" w:rsidP="00B3046D">
            <w:pPr>
              <w:jc w:val="both"/>
              <w:rPr>
                <w:rFonts w:cstheme="minorHAnsi"/>
              </w:rPr>
            </w:pPr>
            <w:r>
              <w:rPr>
                <w:rFonts w:cstheme="minorHAnsi"/>
              </w:rPr>
              <w:t>Exports : 1,24%</w:t>
            </w:r>
          </w:p>
        </w:tc>
      </w:tr>
      <w:tr w:rsidR="00B3046D" w14:paraId="5C453E63" w14:textId="77777777" w:rsidTr="00B3046D">
        <w:tc>
          <w:tcPr>
            <w:tcW w:w="3021" w:type="dxa"/>
            <w:vMerge/>
          </w:tcPr>
          <w:p w14:paraId="24D182DD" w14:textId="77777777" w:rsidR="00B3046D" w:rsidRDefault="00B3046D" w:rsidP="00B3046D">
            <w:pPr>
              <w:jc w:val="both"/>
              <w:rPr>
                <w:rFonts w:cstheme="minorHAnsi"/>
              </w:rPr>
            </w:pPr>
          </w:p>
        </w:tc>
        <w:tc>
          <w:tcPr>
            <w:tcW w:w="3021" w:type="dxa"/>
          </w:tcPr>
          <w:p w14:paraId="14961235" w14:textId="2E109365" w:rsidR="00B3046D" w:rsidRDefault="00B3046D" w:rsidP="00B3046D">
            <w:pPr>
              <w:jc w:val="both"/>
              <w:rPr>
                <w:rFonts w:cstheme="minorHAnsi"/>
              </w:rPr>
            </w:pPr>
            <w:r>
              <w:rPr>
                <w:rFonts w:cstheme="minorHAnsi"/>
              </w:rPr>
              <w:t>Imports : 1,4</w:t>
            </w:r>
            <w:r w:rsidR="002949F5">
              <w:rPr>
                <w:rFonts w:cstheme="minorHAnsi"/>
              </w:rPr>
              <w:t>0%</w:t>
            </w:r>
          </w:p>
        </w:tc>
      </w:tr>
      <w:tr w:rsidR="00B3046D" w14:paraId="70CC867C" w14:textId="77777777" w:rsidTr="00B3046D">
        <w:tc>
          <w:tcPr>
            <w:tcW w:w="3021" w:type="dxa"/>
            <w:vMerge w:val="restart"/>
          </w:tcPr>
          <w:p w14:paraId="67A7BFD8" w14:textId="48830375" w:rsidR="00B3046D" w:rsidRDefault="00B3046D" w:rsidP="00B3046D">
            <w:pPr>
              <w:jc w:val="both"/>
              <w:rPr>
                <w:rFonts w:cstheme="minorHAnsi"/>
              </w:rPr>
            </w:pPr>
            <w:r>
              <w:rPr>
                <w:rFonts w:cstheme="minorHAnsi"/>
              </w:rPr>
              <w:t>Marseille : 18,63%</w:t>
            </w:r>
          </w:p>
        </w:tc>
        <w:tc>
          <w:tcPr>
            <w:tcW w:w="3021" w:type="dxa"/>
          </w:tcPr>
          <w:p w14:paraId="2977B7A2" w14:textId="379F5076" w:rsidR="00B3046D" w:rsidRDefault="00B3046D" w:rsidP="00B3046D">
            <w:pPr>
              <w:jc w:val="both"/>
              <w:rPr>
                <w:rFonts w:cstheme="minorHAnsi"/>
              </w:rPr>
            </w:pPr>
            <w:r>
              <w:rPr>
                <w:rFonts w:cstheme="minorHAnsi"/>
              </w:rPr>
              <w:t xml:space="preserve">Exports : </w:t>
            </w:r>
            <w:r w:rsidR="002949F5">
              <w:rPr>
                <w:rFonts w:cstheme="minorHAnsi"/>
              </w:rPr>
              <w:t>8,20%</w:t>
            </w:r>
          </w:p>
        </w:tc>
      </w:tr>
      <w:tr w:rsidR="00B3046D" w14:paraId="0B1ED58A" w14:textId="77777777" w:rsidTr="00B3046D">
        <w:tc>
          <w:tcPr>
            <w:tcW w:w="3021" w:type="dxa"/>
            <w:vMerge/>
          </w:tcPr>
          <w:p w14:paraId="2BA468DE" w14:textId="77777777" w:rsidR="00B3046D" w:rsidRDefault="00B3046D" w:rsidP="00B3046D">
            <w:pPr>
              <w:jc w:val="both"/>
              <w:rPr>
                <w:rFonts w:cstheme="minorHAnsi"/>
              </w:rPr>
            </w:pPr>
          </w:p>
        </w:tc>
        <w:tc>
          <w:tcPr>
            <w:tcW w:w="3021" w:type="dxa"/>
          </w:tcPr>
          <w:p w14:paraId="5D57C49E" w14:textId="3BB581E4" w:rsidR="00B3046D" w:rsidRDefault="00B3046D" w:rsidP="00B3046D">
            <w:pPr>
              <w:jc w:val="both"/>
              <w:rPr>
                <w:rFonts w:cstheme="minorHAnsi"/>
              </w:rPr>
            </w:pPr>
            <w:r>
              <w:rPr>
                <w:rFonts w:cstheme="minorHAnsi"/>
              </w:rPr>
              <w:t xml:space="preserve">Imports : </w:t>
            </w:r>
            <w:r w:rsidR="002949F5">
              <w:rPr>
                <w:rFonts w:cstheme="minorHAnsi"/>
              </w:rPr>
              <w:t>10,43%</w:t>
            </w:r>
          </w:p>
        </w:tc>
      </w:tr>
      <w:tr w:rsidR="00B3046D" w14:paraId="7953C125" w14:textId="77777777" w:rsidTr="00B3046D">
        <w:tc>
          <w:tcPr>
            <w:tcW w:w="3021" w:type="dxa"/>
            <w:vMerge w:val="restart"/>
          </w:tcPr>
          <w:p w14:paraId="34162CB4" w14:textId="787A754C" w:rsidR="00B3046D" w:rsidRDefault="00B3046D" w:rsidP="00B3046D">
            <w:pPr>
              <w:jc w:val="both"/>
              <w:rPr>
                <w:rFonts w:cstheme="minorHAnsi"/>
              </w:rPr>
            </w:pPr>
            <w:r>
              <w:rPr>
                <w:rFonts w:cstheme="minorHAnsi"/>
              </w:rPr>
              <w:t>Nantes : 6,47%</w:t>
            </w:r>
          </w:p>
        </w:tc>
        <w:tc>
          <w:tcPr>
            <w:tcW w:w="3021" w:type="dxa"/>
          </w:tcPr>
          <w:p w14:paraId="51BDCC4F" w14:textId="77C93EA3" w:rsidR="00B3046D" w:rsidRDefault="00B3046D" w:rsidP="00B3046D">
            <w:pPr>
              <w:jc w:val="both"/>
              <w:rPr>
                <w:rFonts w:cstheme="minorHAnsi"/>
              </w:rPr>
            </w:pPr>
            <w:r>
              <w:rPr>
                <w:rFonts w:cstheme="minorHAnsi"/>
              </w:rPr>
              <w:t xml:space="preserve">Exports : </w:t>
            </w:r>
            <w:r w:rsidR="002949F5">
              <w:rPr>
                <w:rFonts w:cstheme="minorHAnsi"/>
              </w:rPr>
              <w:t>3,85%</w:t>
            </w:r>
          </w:p>
        </w:tc>
      </w:tr>
      <w:tr w:rsidR="00B3046D" w14:paraId="45102B37" w14:textId="77777777" w:rsidTr="00B3046D">
        <w:tc>
          <w:tcPr>
            <w:tcW w:w="3021" w:type="dxa"/>
            <w:vMerge/>
          </w:tcPr>
          <w:p w14:paraId="1D25AF77" w14:textId="77777777" w:rsidR="00B3046D" w:rsidRDefault="00B3046D" w:rsidP="00B3046D">
            <w:pPr>
              <w:jc w:val="both"/>
              <w:rPr>
                <w:rFonts w:cstheme="minorHAnsi"/>
              </w:rPr>
            </w:pPr>
          </w:p>
        </w:tc>
        <w:tc>
          <w:tcPr>
            <w:tcW w:w="3021" w:type="dxa"/>
          </w:tcPr>
          <w:p w14:paraId="49C927FF" w14:textId="282797F5" w:rsidR="00B3046D" w:rsidRDefault="00B3046D" w:rsidP="00B3046D">
            <w:pPr>
              <w:jc w:val="both"/>
              <w:rPr>
                <w:rFonts w:cstheme="minorHAnsi"/>
              </w:rPr>
            </w:pPr>
            <w:r>
              <w:rPr>
                <w:rFonts w:cstheme="minorHAnsi"/>
              </w:rPr>
              <w:t xml:space="preserve">Imports : </w:t>
            </w:r>
            <w:r w:rsidR="002949F5">
              <w:rPr>
                <w:rFonts w:cstheme="minorHAnsi"/>
              </w:rPr>
              <w:t>2,62%</w:t>
            </w:r>
          </w:p>
        </w:tc>
      </w:tr>
      <w:tr w:rsidR="00B3046D" w14:paraId="414DE641" w14:textId="77777777" w:rsidTr="00B3046D">
        <w:tc>
          <w:tcPr>
            <w:tcW w:w="3021" w:type="dxa"/>
            <w:vMerge w:val="restart"/>
          </w:tcPr>
          <w:p w14:paraId="4FD3B8FB" w14:textId="493AEB51" w:rsidR="00B3046D" w:rsidRDefault="00B3046D" w:rsidP="00B3046D">
            <w:pPr>
              <w:jc w:val="both"/>
              <w:rPr>
                <w:rFonts w:cstheme="minorHAnsi"/>
              </w:rPr>
            </w:pPr>
            <w:r>
              <w:rPr>
                <w:rFonts w:cstheme="minorHAnsi"/>
              </w:rPr>
              <w:t>Rennes : 2,67%</w:t>
            </w:r>
          </w:p>
        </w:tc>
        <w:tc>
          <w:tcPr>
            <w:tcW w:w="3021" w:type="dxa"/>
          </w:tcPr>
          <w:p w14:paraId="086C643B" w14:textId="4706A317" w:rsidR="00B3046D" w:rsidRDefault="00B3046D" w:rsidP="00B3046D">
            <w:pPr>
              <w:jc w:val="both"/>
              <w:rPr>
                <w:rFonts w:cstheme="minorHAnsi"/>
              </w:rPr>
            </w:pPr>
            <w:r>
              <w:rPr>
                <w:rFonts w:cstheme="minorHAnsi"/>
              </w:rPr>
              <w:t xml:space="preserve">Exports : </w:t>
            </w:r>
            <w:r w:rsidR="002949F5">
              <w:rPr>
                <w:rFonts w:cstheme="minorHAnsi"/>
              </w:rPr>
              <w:t>1,53%</w:t>
            </w:r>
          </w:p>
        </w:tc>
      </w:tr>
      <w:tr w:rsidR="00B3046D" w14:paraId="5C1A5205" w14:textId="77777777" w:rsidTr="00B3046D">
        <w:tc>
          <w:tcPr>
            <w:tcW w:w="3021" w:type="dxa"/>
            <w:vMerge/>
          </w:tcPr>
          <w:p w14:paraId="648715A4" w14:textId="77777777" w:rsidR="00B3046D" w:rsidRDefault="00B3046D" w:rsidP="00B3046D">
            <w:pPr>
              <w:jc w:val="both"/>
              <w:rPr>
                <w:rFonts w:cstheme="minorHAnsi"/>
              </w:rPr>
            </w:pPr>
          </w:p>
        </w:tc>
        <w:tc>
          <w:tcPr>
            <w:tcW w:w="3021" w:type="dxa"/>
          </w:tcPr>
          <w:p w14:paraId="2D56201A" w14:textId="1382E105" w:rsidR="00B3046D" w:rsidRDefault="00B3046D" w:rsidP="00B3046D">
            <w:pPr>
              <w:jc w:val="both"/>
              <w:rPr>
                <w:rFonts w:cstheme="minorHAnsi"/>
              </w:rPr>
            </w:pPr>
            <w:r>
              <w:rPr>
                <w:rFonts w:cstheme="minorHAnsi"/>
              </w:rPr>
              <w:t xml:space="preserve">Imports : </w:t>
            </w:r>
            <w:r w:rsidR="002949F5">
              <w:rPr>
                <w:rFonts w:cstheme="minorHAnsi"/>
              </w:rPr>
              <w:t>1,14%</w:t>
            </w:r>
          </w:p>
        </w:tc>
      </w:tr>
    </w:tbl>
    <w:p w14:paraId="1510A410" w14:textId="77777777" w:rsidR="00B3046D" w:rsidRPr="00176BD4" w:rsidRDefault="00B3046D" w:rsidP="00176BD4">
      <w:pPr>
        <w:jc w:val="both"/>
        <w:rPr>
          <w:rFonts w:cstheme="minorHAnsi"/>
        </w:rPr>
      </w:pPr>
    </w:p>
    <w:sectPr w:rsidR="00B3046D" w:rsidRPr="00176BD4">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06C5F8" w14:textId="77777777" w:rsidR="00076C5B" w:rsidRDefault="00076C5B" w:rsidP="00AF106E">
      <w:pPr>
        <w:spacing w:after="0" w:line="240" w:lineRule="auto"/>
      </w:pPr>
      <w:r>
        <w:separator/>
      </w:r>
    </w:p>
  </w:endnote>
  <w:endnote w:type="continuationSeparator" w:id="0">
    <w:p w14:paraId="3F3F6CA6" w14:textId="77777777" w:rsidR="00076C5B" w:rsidRDefault="00076C5B" w:rsidP="00AF1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011411"/>
      <w:docPartObj>
        <w:docPartGallery w:val="Page Numbers (Bottom of Page)"/>
        <w:docPartUnique/>
      </w:docPartObj>
    </w:sdtPr>
    <w:sdtContent>
      <w:p w14:paraId="65887E46" w14:textId="6C9224DC" w:rsidR="005F4D38" w:rsidRDefault="005F4D38">
        <w:pPr>
          <w:pStyle w:val="Pieddepage"/>
          <w:jc w:val="right"/>
        </w:pPr>
        <w:r>
          <w:fldChar w:fldCharType="begin"/>
        </w:r>
        <w:r>
          <w:instrText>PAGE   \* MERGEFORMAT</w:instrText>
        </w:r>
        <w:r>
          <w:fldChar w:fldCharType="separate"/>
        </w:r>
        <w:r>
          <w:t>2</w:t>
        </w:r>
        <w:r>
          <w:fldChar w:fldCharType="end"/>
        </w:r>
      </w:p>
    </w:sdtContent>
  </w:sdt>
  <w:p w14:paraId="4CEA6D9B" w14:textId="77777777" w:rsidR="005F4D38" w:rsidRDefault="005F4D3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8ED1E1" w14:textId="77777777" w:rsidR="00076C5B" w:rsidRDefault="00076C5B" w:rsidP="00AF106E">
      <w:pPr>
        <w:spacing w:after="0" w:line="240" w:lineRule="auto"/>
      </w:pPr>
      <w:r>
        <w:separator/>
      </w:r>
    </w:p>
  </w:footnote>
  <w:footnote w:type="continuationSeparator" w:id="0">
    <w:p w14:paraId="7333CEBF" w14:textId="77777777" w:rsidR="00076C5B" w:rsidRDefault="00076C5B" w:rsidP="00AF10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914A8"/>
    <w:multiLevelType w:val="hybridMultilevel"/>
    <w:tmpl w:val="C354F766"/>
    <w:lvl w:ilvl="0" w:tplc="CAD4C930">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C68"/>
    <w:rsid w:val="00001A59"/>
    <w:rsid w:val="00020828"/>
    <w:rsid w:val="00052453"/>
    <w:rsid w:val="00066E27"/>
    <w:rsid w:val="00076C5B"/>
    <w:rsid w:val="00081B08"/>
    <w:rsid w:val="00087C68"/>
    <w:rsid w:val="000D13C8"/>
    <w:rsid w:val="00143778"/>
    <w:rsid w:val="00144C5C"/>
    <w:rsid w:val="00176BD4"/>
    <w:rsid w:val="002420A6"/>
    <w:rsid w:val="002949F5"/>
    <w:rsid w:val="00325D21"/>
    <w:rsid w:val="00335221"/>
    <w:rsid w:val="003E4B0B"/>
    <w:rsid w:val="00416796"/>
    <w:rsid w:val="004759A0"/>
    <w:rsid w:val="00477080"/>
    <w:rsid w:val="00496342"/>
    <w:rsid w:val="004D5444"/>
    <w:rsid w:val="00521734"/>
    <w:rsid w:val="0052325D"/>
    <w:rsid w:val="00523579"/>
    <w:rsid w:val="00532025"/>
    <w:rsid w:val="005326BE"/>
    <w:rsid w:val="005F4D38"/>
    <w:rsid w:val="00664449"/>
    <w:rsid w:val="00694663"/>
    <w:rsid w:val="006A4DAA"/>
    <w:rsid w:val="0076393A"/>
    <w:rsid w:val="007831A4"/>
    <w:rsid w:val="0080168C"/>
    <w:rsid w:val="0085322F"/>
    <w:rsid w:val="00870D58"/>
    <w:rsid w:val="00883E65"/>
    <w:rsid w:val="008C0EB0"/>
    <w:rsid w:val="008C25E8"/>
    <w:rsid w:val="0090406A"/>
    <w:rsid w:val="009059C5"/>
    <w:rsid w:val="00A70CBB"/>
    <w:rsid w:val="00AF106E"/>
    <w:rsid w:val="00B3046D"/>
    <w:rsid w:val="00BA758A"/>
    <w:rsid w:val="00BB4923"/>
    <w:rsid w:val="00BF063B"/>
    <w:rsid w:val="00C525F0"/>
    <w:rsid w:val="00C928B8"/>
    <w:rsid w:val="00CA074B"/>
    <w:rsid w:val="00CB7970"/>
    <w:rsid w:val="00CC2126"/>
    <w:rsid w:val="00CD0842"/>
    <w:rsid w:val="00CF40FF"/>
    <w:rsid w:val="00D2189D"/>
    <w:rsid w:val="00D540E5"/>
    <w:rsid w:val="00DB5700"/>
    <w:rsid w:val="00E01791"/>
    <w:rsid w:val="00E62B57"/>
    <w:rsid w:val="00E75EAE"/>
    <w:rsid w:val="00F012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1D886"/>
  <w15:chartTrackingRefBased/>
  <w15:docId w15:val="{CAC35B56-7291-415D-9B38-45F0C654F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F106E"/>
    <w:pPr>
      <w:tabs>
        <w:tab w:val="center" w:pos="4536"/>
        <w:tab w:val="right" w:pos="9072"/>
      </w:tabs>
      <w:spacing w:after="0" w:line="240" w:lineRule="auto"/>
    </w:pPr>
  </w:style>
  <w:style w:type="character" w:customStyle="1" w:styleId="En-tteCar">
    <w:name w:val="En-tête Car"/>
    <w:basedOn w:val="Policepardfaut"/>
    <w:link w:val="En-tte"/>
    <w:uiPriority w:val="99"/>
    <w:rsid w:val="00AF106E"/>
  </w:style>
  <w:style w:type="paragraph" w:styleId="Pieddepage">
    <w:name w:val="footer"/>
    <w:basedOn w:val="Normal"/>
    <w:link w:val="PieddepageCar"/>
    <w:uiPriority w:val="99"/>
    <w:unhideWhenUsed/>
    <w:rsid w:val="00AF10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106E"/>
  </w:style>
  <w:style w:type="table" w:styleId="Grilledutableau">
    <w:name w:val="Table Grid"/>
    <w:basedOn w:val="TableauNormal"/>
    <w:uiPriority w:val="39"/>
    <w:rsid w:val="00B30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0D13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1.emf"/><Relationship Id="rId50" Type="http://schemas.openxmlformats.org/officeDocument/2006/relationships/oleObject" Target="embeddings/oleObject22.bin"/><Relationship Id="rId55" Type="http://schemas.openxmlformats.org/officeDocument/2006/relationships/footer" Target="footer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emf"/><Relationship Id="rId40" Type="http://schemas.openxmlformats.org/officeDocument/2006/relationships/oleObject" Target="embeddings/oleObject17.bin"/><Relationship Id="rId45" Type="http://schemas.openxmlformats.org/officeDocument/2006/relationships/image" Target="media/image20.emf"/><Relationship Id="rId53" Type="http://schemas.openxmlformats.org/officeDocument/2006/relationships/image" Target="media/image24.emf"/><Relationship Id="rId5" Type="http://schemas.openxmlformats.org/officeDocument/2006/relationships/footnotes" Target="footnotes.xml"/><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emf"/><Relationship Id="rId30" Type="http://schemas.openxmlformats.org/officeDocument/2006/relationships/oleObject" Target="embeddings/oleObject12.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1.bin"/><Relationship Id="rId56"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6.bin"/><Relationship Id="rId46" Type="http://schemas.openxmlformats.org/officeDocument/2006/relationships/oleObject" Target="embeddings/oleObject20.bin"/><Relationship Id="rId20" Type="http://schemas.openxmlformats.org/officeDocument/2006/relationships/oleObject" Target="embeddings/oleObject7.bin"/><Relationship Id="rId41" Type="http://schemas.openxmlformats.org/officeDocument/2006/relationships/image" Target="media/image18.emf"/><Relationship Id="rId54" Type="http://schemas.openxmlformats.org/officeDocument/2006/relationships/oleObject" Target="embeddings/oleObject24.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emf"/><Relationship Id="rId57" Type="http://schemas.openxmlformats.org/officeDocument/2006/relationships/theme" Target="theme/theme1.xml"/><Relationship Id="rId10" Type="http://schemas.openxmlformats.org/officeDocument/2006/relationships/oleObject" Target="embeddings/oleObject2.bin"/><Relationship Id="rId31" Type="http://schemas.openxmlformats.org/officeDocument/2006/relationships/image" Target="media/image13.emf"/><Relationship Id="rId44" Type="http://schemas.openxmlformats.org/officeDocument/2006/relationships/oleObject" Target="embeddings/oleObject19.bin"/><Relationship Id="rId52" Type="http://schemas.openxmlformats.org/officeDocument/2006/relationships/oleObject" Target="embeddings/oleObject23.bin"/></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1902</TotalTime>
  <Pages>9</Pages>
  <Words>1578</Words>
  <Characters>8683</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gdonnat</dc:creator>
  <cp:keywords/>
  <dc:description/>
  <cp:lastModifiedBy>gdonnat</cp:lastModifiedBy>
  <cp:revision>24</cp:revision>
  <dcterms:created xsi:type="dcterms:W3CDTF">2019-11-20T15:34:00Z</dcterms:created>
  <dcterms:modified xsi:type="dcterms:W3CDTF">2020-02-28T11:20:00Z</dcterms:modified>
</cp:coreProperties>
</file>