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BD65F" w14:textId="2FB2D1EB" w:rsidR="00104D36" w:rsidRPr="00C2791A" w:rsidRDefault="00C2791A" w:rsidP="00104D36">
      <w:pPr>
        <w:jc w:val="center"/>
        <w:rPr>
          <w:rFonts w:asciiTheme="majorHAnsi" w:hAnsiTheme="majorHAnsi"/>
          <w:b/>
          <w:color w:val="FF0000"/>
          <w:u w:val="single"/>
          <w:lang w:val="en-GB"/>
        </w:rPr>
      </w:pPr>
      <w:r w:rsidRPr="00C2791A">
        <w:rPr>
          <w:rFonts w:asciiTheme="majorHAnsi" w:hAnsiTheme="majorHAnsi"/>
          <w:b/>
          <w:color w:val="FF0000"/>
          <w:u w:val="single"/>
          <w:lang w:val="en-GB"/>
        </w:rPr>
        <w:t>Measurement units : some statistics</w:t>
      </w:r>
    </w:p>
    <w:p w14:paraId="1B8BCA9D" w14:textId="77777777" w:rsidR="00A417F9" w:rsidRPr="00C2791A" w:rsidRDefault="00A417F9" w:rsidP="00104D3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sectPr w:rsidR="00A417F9" w:rsidRPr="00C2791A" w:rsidSect="000D598C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5CE8A32E" w14:textId="77777777" w:rsidR="00104D36" w:rsidRPr="00C2791A" w:rsidRDefault="00104D36" w:rsidP="00104D3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63C8F3C0" w14:textId="77777777" w:rsidR="00104D36" w:rsidRPr="00C2791A" w:rsidRDefault="00104D36" w:rsidP="00104D3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sectPr w:rsidR="00104D36" w:rsidRPr="00C2791A" w:rsidSect="00A417F9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2F3BF700" w14:textId="4338B2ED" w:rsidR="00104D36" w:rsidRPr="00C2791A" w:rsidRDefault="00104D36" w:rsidP="00104D3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lastRenderedPageBreak/>
        <w:t>1</w:t>
      </w:r>
      <w:r w:rsidR="00C2791A">
        <w:rPr>
          <w:rFonts w:asciiTheme="majorHAnsi" w:hAnsiTheme="majorHAnsi"/>
          <w:color w:val="1F497D" w:themeColor="text2"/>
          <w:sz w:val="22"/>
          <w:szCs w:val="22"/>
          <w:u w:val="single"/>
          <w:vertAlign w:val="superscript"/>
          <w:lang w:val="en-GB"/>
        </w:rPr>
        <w:t xml:space="preserve">st </w:t>
      </w:r>
      <w:r w:rsid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part</w:t>
      </w:r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 : sources</w:t>
      </w:r>
      <w:r w:rsid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units</w:t>
      </w:r>
    </w:p>
    <w:p w14:paraId="2A7F8435" w14:textId="77777777" w:rsidR="00104D36" w:rsidRPr="00C2791A" w:rsidRDefault="00104D36" w:rsidP="00104D3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78FFAA7C" w14:textId="4A5376E3" w:rsidR="00A417F9" w:rsidRPr="00C2791A" w:rsidRDefault="00527C79" w:rsidP="00A417F9">
      <w:pPr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60A38754" wp14:editId="7F04C3A5">
            <wp:simplePos x="0" y="0"/>
            <wp:positionH relativeFrom="column">
              <wp:posOffset>3543300</wp:posOffset>
            </wp:positionH>
            <wp:positionV relativeFrom="paragraph">
              <wp:posOffset>19050</wp:posOffset>
            </wp:positionV>
            <wp:extent cx="2180590" cy="1257300"/>
            <wp:effectExtent l="0" t="0" r="3810" b="12700"/>
            <wp:wrapSquare wrapText="bothSides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28155" w14:textId="77777777" w:rsidR="00527C79" w:rsidRDefault="00527C79" w:rsidP="00A417F9">
      <w:pPr>
        <w:rPr>
          <w:rFonts w:asciiTheme="majorHAnsi" w:hAnsiTheme="majorHAnsi"/>
          <w:sz w:val="18"/>
          <w:szCs w:val="18"/>
          <w:lang w:val="en-GB"/>
        </w:rPr>
      </w:pPr>
    </w:p>
    <w:p w14:paraId="3D98C714" w14:textId="77777777" w:rsidR="00C2791A" w:rsidRDefault="00C2791A" w:rsidP="00A417F9">
      <w:pPr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sz w:val="18"/>
          <w:szCs w:val="18"/>
          <w:lang w:val="en-GB"/>
        </w:rPr>
        <w:t xml:space="preserve">Actually, the database counts 1 </w:t>
      </w:r>
      <w:proofErr w:type="gramStart"/>
      <w:r>
        <w:rPr>
          <w:rFonts w:asciiTheme="majorHAnsi" w:hAnsiTheme="majorHAnsi"/>
          <w:sz w:val="18"/>
          <w:szCs w:val="18"/>
          <w:lang w:val="en-GB"/>
        </w:rPr>
        <w:t>585 measurement</w:t>
      </w:r>
      <w:proofErr w:type="gramEnd"/>
      <w:r>
        <w:rPr>
          <w:rFonts w:asciiTheme="majorHAnsi" w:hAnsiTheme="majorHAnsi"/>
          <w:sz w:val="18"/>
          <w:szCs w:val="18"/>
          <w:lang w:val="en-GB"/>
        </w:rPr>
        <w:t xml:space="preserve"> units from all the sources transcriptions. </w:t>
      </w:r>
    </w:p>
    <w:p w14:paraId="71350636" w14:textId="41D879CF" w:rsidR="00C2791A" w:rsidRDefault="00C2791A" w:rsidP="00A417F9">
      <w:pPr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sz w:val="18"/>
          <w:szCs w:val="18"/>
          <w:lang w:val="en-GB"/>
        </w:rPr>
        <w:t>There are 157 287 missing units among the 440 441 exchanges between France and its trade partners (it represents 35,71% of missing units).</w:t>
      </w:r>
    </w:p>
    <w:p w14:paraId="0BBEA976" w14:textId="27B2882B" w:rsidR="00527C79" w:rsidRDefault="00527C79" w:rsidP="00A417F9">
      <w:pPr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sz w:val="18"/>
          <w:szCs w:val="18"/>
          <w:lang w:val="en-GB"/>
        </w:rPr>
        <w:t>Thereafter, these 157 287 missing units will be called “</w:t>
      </w:r>
      <w:proofErr w:type="spellStart"/>
      <w:r>
        <w:rPr>
          <w:rFonts w:asciiTheme="majorHAnsi" w:hAnsiTheme="majorHAnsi"/>
          <w:sz w:val="18"/>
          <w:szCs w:val="18"/>
          <w:lang w:val="en-GB"/>
        </w:rPr>
        <w:t>unité</w:t>
      </w:r>
      <w:proofErr w:type="spellEnd"/>
      <w:r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>
        <w:rPr>
          <w:rFonts w:asciiTheme="majorHAnsi" w:hAnsiTheme="majorHAnsi"/>
          <w:sz w:val="18"/>
          <w:szCs w:val="18"/>
          <w:lang w:val="en-GB"/>
        </w:rPr>
        <w:t>manquante</w:t>
      </w:r>
      <w:proofErr w:type="spellEnd"/>
      <w:r>
        <w:rPr>
          <w:rFonts w:asciiTheme="majorHAnsi" w:hAnsiTheme="majorHAnsi"/>
          <w:sz w:val="18"/>
          <w:szCs w:val="18"/>
          <w:lang w:val="en-GB"/>
        </w:rPr>
        <w:t xml:space="preserve">”. </w:t>
      </w:r>
    </w:p>
    <w:p w14:paraId="4D811FB6" w14:textId="7107F7B5" w:rsidR="00104D36" w:rsidRPr="00C2791A" w:rsidRDefault="00C2791A" w:rsidP="00A417F9">
      <w:pPr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sz w:val="18"/>
          <w:szCs w:val="18"/>
          <w:lang w:val="en-GB"/>
        </w:rPr>
        <w:t xml:space="preserve">The most represented units in the database are: </w:t>
      </w:r>
    </w:p>
    <w:p w14:paraId="31F6F1D4" w14:textId="77777777" w:rsidR="00104D36" w:rsidRPr="00C2791A" w:rsidRDefault="00104D36" w:rsidP="00104D3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69A81E4A" w14:textId="77777777" w:rsidR="00A417F9" w:rsidRPr="00C2791A" w:rsidRDefault="00A417F9" w:rsidP="00A417F9">
      <w:pPr>
        <w:rPr>
          <w:rFonts w:asciiTheme="majorHAnsi" w:hAnsiTheme="majorHAnsi"/>
          <w:sz w:val="18"/>
          <w:szCs w:val="18"/>
          <w:lang w:val="en-GB"/>
        </w:rPr>
      </w:pPr>
    </w:p>
    <w:p w14:paraId="719EF9A3" w14:textId="77777777" w:rsidR="00104D36" w:rsidRPr="00C2791A" w:rsidRDefault="00104D36" w:rsidP="00104D36">
      <w:pPr>
        <w:pBdr>
          <w:bottom w:val="single" w:sz="12" w:space="1" w:color="auto"/>
        </w:pBdr>
        <w:rPr>
          <w:rFonts w:asciiTheme="majorHAnsi" w:hAnsiTheme="majorHAnsi"/>
          <w:sz w:val="18"/>
          <w:szCs w:val="18"/>
          <w:lang w:val="en-GB"/>
        </w:rPr>
      </w:pPr>
    </w:p>
    <w:p w14:paraId="7ADBCC9C" w14:textId="77777777" w:rsidR="00104D36" w:rsidRPr="00C2791A" w:rsidRDefault="00104D36" w:rsidP="00104D3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5D457A2D" w14:textId="4C84B8D7" w:rsidR="00104D36" w:rsidRPr="00C2791A" w:rsidRDefault="00104D36" w:rsidP="00104D3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2</w:t>
      </w:r>
      <w:r w:rsidR="00C2791A">
        <w:rPr>
          <w:rFonts w:asciiTheme="majorHAnsi" w:hAnsiTheme="majorHAnsi"/>
          <w:color w:val="1F497D" w:themeColor="text2"/>
          <w:sz w:val="22"/>
          <w:szCs w:val="22"/>
          <w:u w:val="single"/>
          <w:vertAlign w:val="superscript"/>
          <w:lang w:val="en-GB"/>
        </w:rPr>
        <w:t>nd</w:t>
      </w:r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</w:t>
      </w:r>
      <w:proofErr w:type="gramStart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part :</w:t>
      </w:r>
      <w:proofErr w:type="gramEnd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</w:t>
      </w:r>
      <w:r w:rsidR="001A3D29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spelling consistent</w:t>
      </w:r>
      <w:r w:rsid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units</w:t>
      </w:r>
    </w:p>
    <w:p w14:paraId="4D6CF3C7" w14:textId="174E1495" w:rsidR="00104D36" w:rsidRPr="00C2791A" w:rsidRDefault="00104D36" w:rsidP="00104D3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47D42D79" w14:textId="32A09177" w:rsidR="00527C79" w:rsidRDefault="001A3D29" w:rsidP="00104D36">
      <w:pPr>
        <w:jc w:val="center"/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2F3652E1" wp14:editId="54F93E06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2355850" cy="1340485"/>
            <wp:effectExtent l="0" t="0" r="6350" b="5715"/>
            <wp:wrapSquare wrapText="bothSides"/>
            <wp:docPr id="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0F48E" w14:textId="3DAD0B8A" w:rsidR="00941909" w:rsidRPr="00C2791A" w:rsidRDefault="00941909" w:rsidP="00104D3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7AFA8637" w14:textId="01BE4AA0" w:rsidR="00C2791A" w:rsidRDefault="00947EE3" w:rsidP="00941909">
      <w:pPr>
        <w:jc w:val="right"/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sz w:val="18"/>
          <w:szCs w:val="18"/>
          <w:lang w:val="en-GB"/>
        </w:rPr>
        <w:t>There are 655</w:t>
      </w:r>
      <w:r w:rsidR="001A3D29">
        <w:rPr>
          <w:rFonts w:asciiTheme="majorHAnsi" w:hAnsiTheme="majorHAnsi"/>
          <w:sz w:val="18"/>
          <w:szCs w:val="18"/>
          <w:lang w:val="en-GB"/>
        </w:rPr>
        <w:t xml:space="preserve"> spelling consistent</w:t>
      </w:r>
      <w:r w:rsidR="00C2791A">
        <w:rPr>
          <w:rFonts w:asciiTheme="majorHAnsi" w:hAnsiTheme="majorHAnsi"/>
          <w:sz w:val="18"/>
          <w:szCs w:val="18"/>
          <w:lang w:val="en-GB"/>
        </w:rPr>
        <w:t xml:space="preserve"> units in the database, which represents a </w:t>
      </w:r>
      <w:r>
        <w:rPr>
          <w:rFonts w:asciiTheme="majorHAnsi" w:hAnsiTheme="majorHAnsi"/>
          <w:sz w:val="18"/>
          <w:szCs w:val="18"/>
          <w:lang w:val="en-GB"/>
        </w:rPr>
        <w:t>58,68</w:t>
      </w:r>
      <w:r w:rsidR="00C2791A">
        <w:rPr>
          <w:rFonts w:asciiTheme="majorHAnsi" w:hAnsiTheme="majorHAnsi"/>
          <w:sz w:val="18"/>
          <w:szCs w:val="18"/>
          <w:lang w:val="en-GB"/>
        </w:rPr>
        <w:t>% cut from the number of sources units.</w:t>
      </w:r>
    </w:p>
    <w:p w14:paraId="0213AC59" w14:textId="7BF5042F" w:rsidR="00527C79" w:rsidRDefault="00C2791A" w:rsidP="00941909">
      <w:pPr>
        <w:jc w:val="right"/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sz w:val="18"/>
          <w:szCs w:val="18"/>
          <w:lang w:val="en-GB"/>
        </w:rPr>
        <w:t xml:space="preserve">335 merchandises </w:t>
      </w:r>
      <w:proofErr w:type="gramStart"/>
      <w:r>
        <w:rPr>
          <w:rFonts w:asciiTheme="majorHAnsi" w:hAnsiTheme="majorHAnsi"/>
          <w:sz w:val="18"/>
          <w:szCs w:val="18"/>
          <w:lang w:val="en-GB"/>
        </w:rPr>
        <w:t>who</w:t>
      </w:r>
      <w:proofErr w:type="gramEnd"/>
      <w:r>
        <w:rPr>
          <w:rFonts w:asciiTheme="majorHAnsi" w:hAnsiTheme="majorHAnsi"/>
          <w:sz w:val="18"/>
          <w:szCs w:val="18"/>
          <w:lang w:val="en-GB"/>
        </w:rPr>
        <w:t xml:space="preserve"> have a sources unit does not have </w:t>
      </w:r>
      <w:r w:rsidR="00527C79">
        <w:rPr>
          <w:rFonts w:asciiTheme="majorHAnsi" w:hAnsiTheme="majorHAnsi"/>
          <w:sz w:val="18"/>
          <w:szCs w:val="18"/>
          <w:lang w:val="en-GB"/>
        </w:rPr>
        <w:t xml:space="preserve">a spelling consistency </w:t>
      </w:r>
      <w:r w:rsidR="001A3D29">
        <w:rPr>
          <w:rFonts w:asciiTheme="majorHAnsi" w:hAnsiTheme="majorHAnsi"/>
          <w:sz w:val="18"/>
          <w:szCs w:val="18"/>
          <w:lang w:val="en-GB"/>
        </w:rPr>
        <w:t>one, so the spelling consistent</w:t>
      </w:r>
      <w:r w:rsidR="00527C79">
        <w:rPr>
          <w:rFonts w:asciiTheme="majorHAnsi" w:hAnsiTheme="majorHAnsi"/>
          <w:sz w:val="18"/>
          <w:szCs w:val="18"/>
          <w:lang w:val="en-GB"/>
        </w:rPr>
        <w:t xml:space="preserve"> rate reaches 99,88%.</w:t>
      </w:r>
    </w:p>
    <w:p w14:paraId="7E885FD1" w14:textId="73059188" w:rsidR="00C2791A" w:rsidRDefault="00527C79" w:rsidP="00527C79">
      <w:pPr>
        <w:jc w:val="right"/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sz w:val="18"/>
          <w:szCs w:val="18"/>
          <w:lang w:val="en-GB"/>
        </w:rPr>
        <w:t xml:space="preserve">That means that 00,12% of sources units is not transposed yet. </w:t>
      </w:r>
    </w:p>
    <w:p w14:paraId="617F0C97" w14:textId="1C2231E4" w:rsidR="00527C79" w:rsidRDefault="00527C79" w:rsidP="00941909">
      <w:pPr>
        <w:jc w:val="right"/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sz w:val="18"/>
          <w:szCs w:val="18"/>
          <w:lang w:val="en-GB"/>
        </w:rPr>
        <w:t xml:space="preserve">The most </w:t>
      </w:r>
      <w:r w:rsidR="001A3D29">
        <w:rPr>
          <w:rFonts w:asciiTheme="majorHAnsi" w:hAnsiTheme="majorHAnsi"/>
          <w:sz w:val="18"/>
          <w:szCs w:val="18"/>
          <w:lang w:val="en-GB"/>
        </w:rPr>
        <w:t>represented spelling consistent</w:t>
      </w:r>
      <w:r>
        <w:rPr>
          <w:rFonts w:asciiTheme="majorHAnsi" w:hAnsiTheme="majorHAnsi"/>
          <w:sz w:val="18"/>
          <w:szCs w:val="18"/>
          <w:lang w:val="en-GB"/>
        </w:rPr>
        <w:t xml:space="preserve"> units in the database are:</w:t>
      </w:r>
    </w:p>
    <w:p w14:paraId="16ED7778" w14:textId="56644D6C" w:rsidR="00A417F9" w:rsidRDefault="00A417F9" w:rsidP="005621AE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6F79A223" w14:textId="77777777" w:rsidR="00527C79" w:rsidRDefault="00527C79" w:rsidP="005621AE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284E1925" w14:textId="77777777" w:rsidR="00527C79" w:rsidRPr="00C2791A" w:rsidRDefault="00527C79" w:rsidP="005621AE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2F0CFAB4" w14:textId="77777777" w:rsidR="00941909" w:rsidRPr="00C2791A" w:rsidRDefault="00941909" w:rsidP="00941909">
      <w:pPr>
        <w:pBdr>
          <w:bottom w:val="single" w:sz="12" w:space="1" w:color="auto"/>
        </w:pBdr>
        <w:rPr>
          <w:rFonts w:asciiTheme="majorHAnsi" w:hAnsiTheme="majorHAnsi"/>
          <w:sz w:val="18"/>
          <w:szCs w:val="18"/>
          <w:lang w:val="en-GB"/>
        </w:rPr>
      </w:pPr>
    </w:p>
    <w:p w14:paraId="1FFAA981" w14:textId="77777777" w:rsidR="00941909" w:rsidRPr="00C2791A" w:rsidRDefault="00941909" w:rsidP="00941909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6E4572BB" w14:textId="2FBF0030" w:rsidR="00941909" w:rsidRPr="00C2791A" w:rsidRDefault="00941909" w:rsidP="00941909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3</w:t>
      </w:r>
      <w:r w:rsidR="00947EE3">
        <w:rPr>
          <w:rFonts w:asciiTheme="majorHAnsi" w:hAnsiTheme="majorHAnsi"/>
          <w:color w:val="1F497D" w:themeColor="text2"/>
          <w:sz w:val="22"/>
          <w:szCs w:val="22"/>
          <w:u w:val="single"/>
          <w:vertAlign w:val="superscript"/>
          <w:lang w:val="en-GB"/>
        </w:rPr>
        <w:t>rd</w:t>
      </w:r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</w:t>
      </w:r>
      <w:proofErr w:type="gramStart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part :</w:t>
      </w:r>
      <w:proofErr w:type="gramEnd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</w:t>
      </w:r>
      <w:r w:rsidR="00947EE3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conventional units</w:t>
      </w:r>
    </w:p>
    <w:p w14:paraId="794F6AF6" w14:textId="77777777" w:rsidR="00A417F9" w:rsidRPr="00C2791A" w:rsidRDefault="00A417F9" w:rsidP="005621AE">
      <w:pPr>
        <w:jc w:val="center"/>
        <w:rPr>
          <w:rFonts w:asciiTheme="majorHAnsi" w:hAnsiTheme="majorHAnsi"/>
          <w:sz w:val="18"/>
          <w:szCs w:val="18"/>
          <w:lang w:val="en-GB"/>
        </w:rPr>
        <w:sectPr w:rsidR="00A417F9" w:rsidRPr="00C2791A" w:rsidSect="00A417F9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76C76975" w14:textId="77777777" w:rsidR="00A417F9" w:rsidRPr="00C2791A" w:rsidRDefault="00A417F9" w:rsidP="005621AE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5B25A4B7" w14:textId="75B942D9" w:rsidR="005C265E" w:rsidRDefault="00947EE3" w:rsidP="00947EE3">
      <w:pPr>
        <w:rPr>
          <w:rFonts w:asciiTheme="majorHAnsi" w:hAnsiTheme="majorHAnsi"/>
          <w:noProof/>
          <w:sz w:val="18"/>
          <w:szCs w:val="18"/>
          <w:lang w:val="en-GB"/>
        </w:rPr>
      </w:pPr>
      <w:r>
        <w:rPr>
          <w:rFonts w:asciiTheme="majorHAnsi" w:hAnsiTheme="majorHAnsi"/>
          <w:noProof/>
          <w:sz w:val="18"/>
          <w:szCs w:val="18"/>
          <w:lang w:val="en-GB"/>
        </w:rPr>
        <w:t xml:space="preserve">Actually, there are 6 conventional units in the database, which represents a </w:t>
      </w:r>
      <w:r w:rsidR="00A65237">
        <w:rPr>
          <w:rFonts w:asciiTheme="majorHAnsi" w:hAnsiTheme="majorHAnsi"/>
          <w:noProof/>
          <w:sz w:val="18"/>
          <w:szCs w:val="18"/>
          <w:lang w:val="en-GB"/>
        </w:rPr>
        <w:t>99,08% c</w:t>
      </w:r>
      <w:r w:rsidR="001A3D29">
        <w:rPr>
          <w:rFonts w:asciiTheme="majorHAnsi" w:hAnsiTheme="majorHAnsi"/>
          <w:noProof/>
          <w:sz w:val="18"/>
          <w:szCs w:val="18"/>
          <w:lang w:val="en-GB"/>
        </w:rPr>
        <w:t>ut from the spelling consistent</w:t>
      </w:r>
      <w:r w:rsidR="00A65237">
        <w:rPr>
          <w:rFonts w:asciiTheme="majorHAnsi" w:hAnsiTheme="majorHAnsi"/>
          <w:noProof/>
          <w:sz w:val="18"/>
          <w:szCs w:val="18"/>
          <w:lang w:val="en-GB"/>
        </w:rPr>
        <w:t xml:space="preserve"> units, and a 99,62% cut from the sources ones.</w:t>
      </w:r>
    </w:p>
    <w:p w14:paraId="4C4AFEDB" w14:textId="5F4676A4" w:rsidR="00A65237" w:rsidRPr="00C2791A" w:rsidRDefault="00A65237" w:rsidP="00947EE3">
      <w:pPr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sz w:val="18"/>
          <w:szCs w:val="18"/>
          <w:lang w:val="en-GB"/>
        </w:rPr>
        <w:t xml:space="preserve">23 294 merchandises who have a sources unit does not have a conventional one, so </w:t>
      </w:r>
      <w:bookmarkStart w:id="0" w:name="_GoBack"/>
      <w:bookmarkEnd w:id="0"/>
    </w:p>
    <w:p w14:paraId="4E2CDA05" w14:textId="77777777" w:rsidR="005C265E" w:rsidRPr="00C2791A" w:rsidRDefault="005C265E" w:rsidP="005621AE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29B4CDFB" w14:textId="77777777" w:rsidR="005C265E" w:rsidRPr="00C2791A" w:rsidRDefault="005C265E" w:rsidP="002125E1">
      <w:pPr>
        <w:rPr>
          <w:rFonts w:asciiTheme="majorHAnsi" w:hAnsiTheme="majorHAnsi"/>
          <w:sz w:val="18"/>
          <w:szCs w:val="18"/>
          <w:lang w:val="en-GB"/>
        </w:rPr>
        <w:sectPr w:rsidR="005C265E" w:rsidRPr="00C2791A" w:rsidSect="00A65237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41593F4B" w14:textId="77777777" w:rsidR="002125E1" w:rsidRPr="00C2791A" w:rsidRDefault="002125E1" w:rsidP="005621AE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17DDF9A3" w14:textId="77777777" w:rsidR="005621AE" w:rsidRDefault="005621AE" w:rsidP="00104D36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7ECB6511" w14:textId="77777777" w:rsidR="00A65237" w:rsidRDefault="00A65237" w:rsidP="00104D36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4939DFC9" w14:textId="77777777" w:rsidR="00A65237" w:rsidRDefault="00A65237" w:rsidP="00104D36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  <w:lang w:val="en-GB"/>
        </w:rPr>
        <w:sectPr w:rsidR="00A65237" w:rsidSect="00A65237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5BF13A14" w14:textId="6FFFF3D3" w:rsidR="00A65237" w:rsidRDefault="00A65237" w:rsidP="00104D36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504E09AD" w14:textId="77777777" w:rsidR="00A65237" w:rsidRDefault="00A65237" w:rsidP="00104D36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5CD607B7" w14:textId="77777777" w:rsidR="00A65237" w:rsidRDefault="00A65237" w:rsidP="00104D36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19F2D777" w14:textId="77777777" w:rsidR="00A65237" w:rsidRDefault="00A65237" w:rsidP="00104D36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1440BDDC" w14:textId="77777777" w:rsidR="00A65237" w:rsidRDefault="00A65237" w:rsidP="00104D36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12C05B4B" w14:textId="77777777" w:rsidR="00A65237" w:rsidRPr="00C2791A" w:rsidRDefault="00A65237" w:rsidP="00104D36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39BEB071" w14:textId="77777777" w:rsidR="005C265E" w:rsidRPr="00C2791A" w:rsidRDefault="005C265E" w:rsidP="00104D3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6383AACD" w14:textId="77777777" w:rsidR="005C265E" w:rsidRPr="00C2791A" w:rsidRDefault="005C265E" w:rsidP="005C265E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4D3C6CD0" w14:textId="77777777" w:rsidR="005C265E" w:rsidRPr="00C2791A" w:rsidRDefault="005C265E" w:rsidP="005C265E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22274872" w14:textId="77777777" w:rsidR="005C265E" w:rsidRPr="00C2791A" w:rsidRDefault="005C265E" w:rsidP="005C265E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581311EF" w14:textId="77777777" w:rsidR="005C265E" w:rsidRPr="00C2791A" w:rsidRDefault="005C265E" w:rsidP="005C265E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4</w:t>
      </w:r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vertAlign w:val="superscript"/>
          <w:lang w:val="en-GB"/>
        </w:rPr>
        <w:t>e</w:t>
      </w:r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</w:t>
      </w:r>
      <w:proofErr w:type="spellStart"/>
      <w:proofErr w:type="gramStart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partie</w:t>
      </w:r>
      <w:proofErr w:type="spellEnd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 :</w:t>
      </w:r>
      <w:proofErr w:type="gramEnd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</w:t>
      </w:r>
      <w:proofErr w:type="spellStart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unités</w:t>
      </w:r>
      <w:proofErr w:type="spellEnd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</w:t>
      </w:r>
      <w:proofErr w:type="spellStart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conventionnelles</w:t>
      </w:r>
      <w:proofErr w:type="spellEnd"/>
    </w:p>
    <w:p w14:paraId="6EA3D377" w14:textId="77777777" w:rsidR="005C265E" w:rsidRPr="00C2791A" w:rsidRDefault="005C265E" w:rsidP="00104D3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1DF46DAD" w14:textId="77777777" w:rsidR="005C265E" w:rsidRPr="00C2791A" w:rsidRDefault="005C265E" w:rsidP="00104D3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452039A0" w14:textId="77777777" w:rsidR="005C265E" w:rsidRPr="00C2791A" w:rsidRDefault="005C265E">
      <w:pPr>
        <w:rPr>
          <w:lang w:val="en-GB"/>
        </w:rPr>
        <w:sectPr w:rsidR="005C265E" w:rsidRPr="00C2791A" w:rsidSect="005C265E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004F7650" w14:textId="7B215E90" w:rsidR="005C265E" w:rsidRPr="00C2791A" w:rsidRDefault="00A1338D" w:rsidP="005C265E">
      <w:pPr>
        <w:jc w:val="right"/>
        <w:rPr>
          <w:rFonts w:asciiTheme="majorHAnsi" w:hAnsiTheme="majorHAnsi"/>
          <w:sz w:val="18"/>
          <w:szCs w:val="18"/>
          <w:lang w:val="en-GB"/>
        </w:rPr>
      </w:pPr>
      <w:r w:rsidRPr="00C2791A">
        <w:rPr>
          <w:rFonts w:asciiTheme="majorHAnsi" w:hAnsiTheme="majorHAnsi"/>
          <w:noProof/>
          <w:sz w:val="18"/>
          <w:szCs w:val="18"/>
          <w:lang w:val="en-GB"/>
        </w:rPr>
        <w:lastRenderedPageBreak/>
        <w:drawing>
          <wp:anchor distT="0" distB="0" distL="114300" distR="114300" simplePos="0" relativeHeight="251663360" behindDoc="0" locked="0" layoutInCell="1" allowOverlap="1" wp14:anchorId="18C43C4B" wp14:editId="76A276CC">
            <wp:simplePos x="0" y="0"/>
            <wp:positionH relativeFrom="column">
              <wp:posOffset>65405</wp:posOffset>
            </wp:positionH>
            <wp:positionV relativeFrom="paragraph">
              <wp:posOffset>4445</wp:posOffset>
            </wp:positionV>
            <wp:extent cx="2762250" cy="1890395"/>
            <wp:effectExtent l="0" t="0" r="6350" b="0"/>
            <wp:wrapSquare wrapText="bothSides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1C0" w:rsidRPr="00C2791A">
        <w:rPr>
          <w:rFonts w:asciiTheme="majorHAnsi" w:hAnsiTheme="majorHAnsi"/>
          <w:sz w:val="18"/>
          <w:szCs w:val="18"/>
          <w:lang w:val="en-GB"/>
        </w:rPr>
        <w:t xml:space="preserve">Il y a </w:t>
      </w:r>
      <w:proofErr w:type="spellStart"/>
      <w:r w:rsidR="005D01C0" w:rsidRPr="00C2791A">
        <w:rPr>
          <w:rFonts w:asciiTheme="majorHAnsi" w:hAnsiTheme="majorHAnsi"/>
          <w:sz w:val="18"/>
          <w:szCs w:val="18"/>
          <w:lang w:val="en-GB"/>
        </w:rPr>
        <w:t>dans</w:t>
      </w:r>
      <w:proofErr w:type="spellEnd"/>
      <w:r w:rsidR="005D01C0" w:rsidRPr="00C2791A">
        <w:rPr>
          <w:rFonts w:asciiTheme="majorHAnsi" w:hAnsiTheme="majorHAnsi"/>
          <w:sz w:val="18"/>
          <w:szCs w:val="18"/>
          <w:lang w:val="en-GB"/>
        </w:rPr>
        <w:t xml:space="preserve"> la base 6</w:t>
      </w:r>
      <w:r w:rsidR="005C265E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5C265E" w:rsidRPr="00C2791A">
        <w:rPr>
          <w:rFonts w:asciiTheme="majorHAnsi" w:hAnsiTheme="majorHAnsi"/>
          <w:sz w:val="18"/>
          <w:szCs w:val="18"/>
          <w:lang w:val="en-GB"/>
        </w:rPr>
        <w:t>unités</w:t>
      </w:r>
      <w:proofErr w:type="spellEnd"/>
      <w:r w:rsidR="005C265E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5C265E" w:rsidRPr="00C2791A">
        <w:rPr>
          <w:rFonts w:asciiTheme="majorHAnsi" w:hAnsiTheme="majorHAnsi"/>
          <w:sz w:val="18"/>
          <w:szCs w:val="18"/>
          <w:lang w:val="en-GB"/>
        </w:rPr>
        <w:t>conventionnelles</w:t>
      </w:r>
      <w:proofErr w:type="spellEnd"/>
      <w:r w:rsidR="005C265E" w:rsidRPr="00C2791A">
        <w:rPr>
          <w:rFonts w:asciiTheme="majorHAnsi" w:hAnsiTheme="majorHAnsi"/>
          <w:sz w:val="18"/>
          <w:szCs w:val="18"/>
          <w:lang w:val="en-GB"/>
        </w:rPr>
        <w:t xml:space="preserve">, </w:t>
      </w:r>
      <w:proofErr w:type="spellStart"/>
      <w:r w:rsidR="005C265E" w:rsidRPr="00C2791A">
        <w:rPr>
          <w:rFonts w:asciiTheme="majorHAnsi" w:hAnsiTheme="majorHAnsi"/>
          <w:sz w:val="18"/>
          <w:szCs w:val="18"/>
          <w:lang w:val="en-GB"/>
        </w:rPr>
        <w:t>soit</w:t>
      </w:r>
      <w:proofErr w:type="spellEnd"/>
      <w:r w:rsidR="005C265E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5C265E" w:rsidRPr="00C2791A">
        <w:rPr>
          <w:rFonts w:asciiTheme="majorHAnsi" w:hAnsiTheme="majorHAnsi"/>
          <w:sz w:val="18"/>
          <w:szCs w:val="18"/>
          <w:lang w:val="en-GB"/>
        </w:rPr>
        <w:t>une</w:t>
      </w:r>
      <w:proofErr w:type="spellEnd"/>
      <w:r w:rsidR="005C265E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5C265E" w:rsidRPr="00C2791A">
        <w:rPr>
          <w:rFonts w:asciiTheme="majorHAnsi" w:hAnsiTheme="majorHAnsi"/>
          <w:sz w:val="18"/>
          <w:szCs w:val="18"/>
          <w:lang w:val="en-GB"/>
        </w:rPr>
        <w:t>réduction</w:t>
      </w:r>
      <w:proofErr w:type="spellEnd"/>
      <w:r w:rsidR="005C265E" w:rsidRPr="00C2791A">
        <w:rPr>
          <w:rFonts w:asciiTheme="majorHAnsi" w:hAnsiTheme="majorHAnsi"/>
          <w:sz w:val="18"/>
          <w:szCs w:val="18"/>
          <w:lang w:val="en-GB"/>
        </w:rPr>
        <w:t xml:space="preserve"> du </w:t>
      </w:r>
      <w:proofErr w:type="spellStart"/>
      <w:r w:rsidR="005C265E" w:rsidRPr="00C2791A">
        <w:rPr>
          <w:rFonts w:asciiTheme="majorHAnsi" w:hAnsiTheme="majorHAnsi"/>
          <w:sz w:val="18"/>
          <w:szCs w:val="18"/>
          <w:lang w:val="en-GB"/>
        </w:rPr>
        <w:t>nombre</w:t>
      </w:r>
      <w:proofErr w:type="spellEnd"/>
      <w:r w:rsidR="005C265E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5C265E" w:rsidRPr="00C2791A">
        <w:rPr>
          <w:rFonts w:asciiTheme="majorHAnsi" w:hAnsiTheme="majorHAnsi"/>
          <w:sz w:val="18"/>
          <w:szCs w:val="18"/>
          <w:lang w:val="en-GB"/>
        </w:rPr>
        <w:t>d’unités</w:t>
      </w:r>
      <w:proofErr w:type="spellEnd"/>
      <w:r w:rsidR="005C265E" w:rsidRPr="00C2791A">
        <w:rPr>
          <w:rFonts w:asciiTheme="majorHAnsi" w:hAnsiTheme="majorHAnsi"/>
          <w:sz w:val="18"/>
          <w:szCs w:val="18"/>
          <w:lang w:val="en-GB"/>
        </w:rPr>
        <w:t xml:space="preserve"> de </w:t>
      </w:r>
      <w:r w:rsidR="005D01C0" w:rsidRPr="00C2791A">
        <w:rPr>
          <w:rFonts w:asciiTheme="majorHAnsi" w:hAnsiTheme="majorHAnsi"/>
          <w:sz w:val="18"/>
          <w:szCs w:val="18"/>
          <w:lang w:val="en-GB"/>
        </w:rPr>
        <w:t>96,65</w:t>
      </w:r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% par rapport aux </w:t>
      </w:r>
      <w:proofErr w:type="spellStart"/>
      <w:r w:rsidR="009F4C6B" w:rsidRPr="00C2791A">
        <w:rPr>
          <w:rFonts w:asciiTheme="majorHAnsi" w:hAnsiTheme="majorHAnsi"/>
          <w:sz w:val="18"/>
          <w:szCs w:val="18"/>
          <w:lang w:val="en-GB"/>
        </w:rPr>
        <w:t>unité</w:t>
      </w:r>
      <w:r w:rsidR="005D01C0" w:rsidRPr="00C2791A">
        <w:rPr>
          <w:rFonts w:asciiTheme="majorHAnsi" w:hAnsiTheme="majorHAnsi"/>
          <w:sz w:val="18"/>
          <w:szCs w:val="18"/>
          <w:lang w:val="en-GB"/>
        </w:rPr>
        <w:t>s</w:t>
      </w:r>
      <w:proofErr w:type="spellEnd"/>
      <w:r w:rsidR="005D01C0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5D01C0" w:rsidRPr="00C2791A">
        <w:rPr>
          <w:rFonts w:asciiTheme="majorHAnsi" w:hAnsiTheme="majorHAnsi"/>
          <w:sz w:val="18"/>
          <w:szCs w:val="18"/>
          <w:lang w:val="en-GB"/>
        </w:rPr>
        <w:t>ajustées</w:t>
      </w:r>
      <w:proofErr w:type="spellEnd"/>
      <w:r w:rsidR="005D01C0" w:rsidRPr="00C2791A">
        <w:rPr>
          <w:rFonts w:asciiTheme="majorHAnsi" w:hAnsiTheme="majorHAnsi"/>
          <w:sz w:val="18"/>
          <w:szCs w:val="18"/>
          <w:lang w:val="en-GB"/>
        </w:rPr>
        <w:t>, de 99,09</w:t>
      </w:r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% par rapport aux </w:t>
      </w:r>
      <w:proofErr w:type="spellStart"/>
      <w:r w:rsidR="009F4C6B" w:rsidRPr="00C2791A">
        <w:rPr>
          <w:rFonts w:asciiTheme="majorHAnsi" w:hAnsiTheme="majorHAnsi"/>
          <w:sz w:val="18"/>
          <w:szCs w:val="18"/>
          <w:lang w:val="en-GB"/>
        </w:rPr>
        <w:t>unités</w:t>
      </w:r>
      <w:proofErr w:type="spellEnd"/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9F4C6B" w:rsidRPr="00C2791A">
        <w:rPr>
          <w:rFonts w:asciiTheme="majorHAnsi" w:hAnsiTheme="majorHAnsi"/>
          <w:sz w:val="18"/>
          <w:szCs w:val="18"/>
          <w:lang w:val="en-GB"/>
        </w:rPr>
        <w:t>normalisées</w:t>
      </w:r>
      <w:proofErr w:type="spellEnd"/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9F4C6B" w:rsidRPr="00C2791A">
        <w:rPr>
          <w:rFonts w:asciiTheme="majorHAnsi" w:hAnsiTheme="majorHAnsi"/>
          <w:sz w:val="18"/>
          <w:szCs w:val="18"/>
          <w:lang w:val="en-GB"/>
        </w:rPr>
        <w:t>orthographiquement</w:t>
      </w:r>
      <w:proofErr w:type="spellEnd"/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 et de </w:t>
      </w:r>
      <w:r w:rsidR="005D01C0" w:rsidRPr="00C2791A">
        <w:rPr>
          <w:rFonts w:asciiTheme="majorHAnsi" w:hAnsiTheme="majorHAnsi"/>
          <w:sz w:val="18"/>
          <w:szCs w:val="18"/>
          <w:lang w:val="en-GB"/>
        </w:rPr>
        <w:t>99,62</w:t>
      </w:r>
      <w:r w:rsidR="005C265E" w:rsidRPr="00C2791A">
        <w:rPr>
          <w:rFonts w:asciiTheme="majorHAnsi" w:hAnsiTheme="majorHAnsi"/>
          <w:sz w:val="18"/>
          <w:szCs w:val="18"/>
          <w:lang w:val="en-GB"/>
        </w:rPr>
        <w:t xml:space="preserve">% par rapport aux </w:t>
      </w:r>
      <w:proofErr w:type="spellStart"/>
      <w:r w:rsidR="005C265E" w:rsidRPr="00C2791A">
        <w:rPr>
          <w:rFonts w:asciiTheme="majorHAnsi" w:hAnsiTheme="majorHAnsi"/>
          <w:sz w:val="18"/>
          <w:szCs w:val="18"/>
          <w:lang w:val="en-GB"/>
        </w:rPr>
        <w:t>unités</w:t>
      </w:r>
      <w:proofErr w:type="spellEnd"/>
      <w:r w:rsidR="005C265E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5C265E" w:rsidRPr="00C2791A">
        <w:rPr>
          <w:rFonts w:asciiTheme="majorHAnsi" w:hAnsiTheme="majorHAnsi"/>
          <w:sz w:val="18"/>
          <w:szCs w:val="18"/>
          <w:lang w:val="en-GB"/>
        </w:rPr>
        <w:t>provenant</w:t>
      </w:r>
      <w:proofErr w:type="spellEnd"/>
      <w:r w:rsidR="005C265E" w:rsidRPr="00C2791A">
        <w:rPr>
          <w:rFonts w:asciiTheme="majorHAnsi" w:hAnsiTheme="majorHAnsi"/>
          <w:sz w:val="18"/>
          <w:szCs w:val="18"/>
          <w:lang w:val="en-GB"/>
        </w:rPr>
        <w:t xml:space="preserve"> des </w:t>
      </w:r>
      <w:proofErr w:type="spellStart"/>
      <w:r w:rsidR="005C265E" w:rsidRPr="00C2791A">
        <w:rPr>
          <w:rFonts w:asciiTheme="majorHAnsi" w:hAnsiTheme="majorHAnsi"/>
          <w:sz w:val="18"/>
          <w:szCs w:val="18"/>
          <w:lang w:val="en-GB"/>
        </w:rPr>
        <w:t>retranscriptions</w:t>
      </w:r>
      <w:proofErr w:type="spellEnd"/>
      <w:r w:rsidR="005C265E" w:rsidRPr="00C2791A">
        <w:rPr>
          <w:rFonts w:asciiTheme="majorHAnsi" w:hAnsiTheme="majorHAnsi"/>
          <w:sz w:val="18"/>
          <w:szCs w:val="18"/>
          <w:lang w:val="en-GB"/>
        </w:rPr>
        <w:t xml:space="preserve"> des sources.</w:t>
      </w:r>
    </w:p>
    <w:p w14:paraId="037A7D9C" w14:textId="252B1664" w:rsidR="005C265E" w:rsidRPr="00C2791A" w:rsidRDefault="005C265E" w:rsidP="005C265E">
      <w:pPr>
        <w:jc w:val="right"/>
        <w:rPr>
          <w:rFonts w:asciiTheme="majorHAnsi" w:hAnsiTheme="majorHAnsi"/>
          <w:sz w:val="18"/>
          <w:szCs w:val="18"/>
          <w:lang w:val="en-GB"/>
        </w:rPr>
      </w:pPr>
      <w:r w:rsidRPr="00C2791A">
        <w:rPr>
          <w:rFonts w:asciiTheme="majorHAnsi" w:hAnsiTheme="majorHAnsi"/>
          <w:sz w:val="18"/>
          <w:szCs w:val="18"/>
          <w:lang w:val="en-GB"/>
        </w:rPr>
        <w:t xml:space="preserve">Il y a </w:t>
      </w:r>
      <w:r w:rsidR="005D01C0" w:rsidRPr="00C2791A">
        <w:rPr>
          <w:rFonts w:asciiTheme="majorHAnsi" w:hAnsiTheme="majorHAnsi"/>
          <w:sz w:val="18"/>
          <w:szCs w:val="18"/>
          <w:lang w:val="en-GB"/>
        </w:rPr>
        <w:t>199 266</w:t>
      </w:r>
      <w:r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marchandises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pour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lesquelles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les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unités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normalisées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orthographiquement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ne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sont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pas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renseignées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lastRenderedPageBreak/>
        <w:t>sur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les 440 142 de la base,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c’est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-à-dire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que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r w:rsidR="005D01C0" w:rsidRPr="00C2791A">
        <w:rPr>
          <w:rFonts w:asciiTheme="majorHAnsi" w:hAnsiTheme="majorHAnsi"/>
          <w:sz w:val="18"/>
          <w:szCs w:val="18"/>
          <w:lang w:val="en-GB"/>
        </w:rPr>
        <w:t>695</w:t>
      </w:r>
      <w:r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marchandises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ayant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une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unité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ajustée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n’ont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pas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d’unités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conventionnelle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(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soit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r w:rsidR="005D01C0" w:rsidRPr="00C2791A">
        <w:rPr>
          <w:rFonts w:asciiTheme="majorHAnsi" w:hAnsiTheme="majorHAnsi"/>
          <w:sz w:val="18"/>
          <w:szCs w:val="18"/>
          <w:lang w:val="en-GB"/>
        </w:rPr>
        <w:t>99,71</w:t>
      </w:r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% de </w:t>
      </w:r>
      <w:proofErr w:type="spellStart"/>
      <w:r w:rsidR="009F4C6B" w:rsidRPr="00C2791A">
        <w:rPr>
          <w:rFonts w:asciiTheme="majorHAnsi" w:hAnsiTheme="majorHAnsi"/>
          <w:sz w:val="18"/>
          <w:szCs w:val="18"/>
          <w:lang w:val="en-GB"/>
        </w:rPr>
        <w:t>marchandises</w:t>
      </w:r>
      <w:proofErr w:type="spellEnd"/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9F4C6B" w:rsidRPr="00C2791A">
        <w:rPr>
          <w:rFonts w:asciiTheme="majorHAnsi" w:hAnsiTheme="majorHAnsi"/>
          <w:sz w:val="18"/>
          <w:szCs w:val="18"/>
          <w:lang w:val="en-GB"/>
        </w:rPr>
        <w:t>ayant</w:t>
      </w:r>
      <w:proofErr w:type="spellEnd"/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9F4C6B" w:rsidRPr="00C2791A">
        <w:rPr>
          <w:rFonts w:asciiTheme="majorHAnsi" w:hAnsiTheme="majorHAnsi"/>
          <w:sz w:val="18"/>
          <w:szCs w:val="18"/>
          <w:lang w:val="en-GB"/>
        </w:rPr>
        <w:t>une</w:t>
      </w:r>
      <w:proofErr w:type="spellEnd"/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9F4C6B" w:rsidRPr="00C2791A">
        <w:rPr>
          <w:rFonts w:asciiTheme="majorHAnsi" w:hAnsiTheme="majorHAnsi"/>
          <w:sz w:val="18"/>
          <w:szCs w:val="18"/>
          <w:lang w:val="en-GB"/>
        </w:rPr>
        <w:t>unité</w:t>
      </w:r>
      <w:proofErr w:type="spellEnd"/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9F4C6B" w:rsidRPr="00C2791A">
        <w:rPr>
          <w:rFonts w:asciiTheme="majorHAnsi" w:hAnsiTheme="majorHAnsi"/>
          <w:sz w:val="18"/>
          <w:szCs w:val="18"/>
          <w:lang w:val="en-GB"/>
        </w:rPr>
        <w:t>ajustée</w:t>
      </w:r>
      <w:proofErr w:type="spellEnd"/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 qui </w:t>
      </w:r>
      <w:proofErr w:type="spellStart"/>
      <w:r w:rsidR="009F4C6B" w:rsidRPr="00C2791A">
        <w:rPr>
          <w:rFonts w:asciiTheme="majorHAnsi" w:hAnsiTheme="majorHAnsi"/>
          <w:sz w:val="18"/>
          <w:szCs w:val="18"/>
          <w:lang w:val="en-GB"/>
        </w:rPr>
        <w:t>ont</w:t>
      </w:r>
      <w:proofErr w:type="spellEnd"/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9F4C6B" w:rsidRPr="00C2791A">
        <w:rPr>
          <w:rFonts w:asciiTheme="majorHAnsi" w:hAnsiTheme="majorHAnsi"/>
          <w:sz w:val="18"/>
          <w:szCs w:val="18"/>
          <w:lang w:val="en-GB"/>
        </w:rPr>
        <w:t>également</w:t>
      </w:r>
      <w:proofErr w:type="spellEnd"/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9F4C6B" w:rsidRPr="00C2791A">
        <w:rPr>
          <w:rFonts w:asciiTheme="majorHAnsi" w:hAnsiTheme="majorHAnsi"/>
          <w:sz w:val="18"/>
          <w:szCs w:val="18"/>
          <w:lang w:val="en-GB"/>
        </w:rPr>
        <w:t>une</w:t>
      </w:r>
      <w:proofErr w:type="spellEnd"/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9F4C6B" w:rsidRPr="00C2791A">
        <w:rPr>
          <w:rFonts w:asciiTheme="majorHAnsi" w:hAnsiTheme="majorHAnsi"/>
          <w:sz w:val="18"/>
          <w:szCs w:val="18"/>
          <w:lang w:val="en-GB"/>
        </w:rPr>
        <w:t>unité</w:t>
      </w:r>
      <w:proofErr w:type="spellEnd"/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9F4C6B" w:rsidRPr="00C2791A">
        <w:rPr>
          <w:rFonts w:asciiTheme="majorHAnsi" w:hAnsiTheme="majorHAnsi"/>
          <w:sz w:val="18"/>
          <w:szCs w:val="18"/>
          <w:lang w:val="en-GB"/>
        </w:rPr>
        <w:t>conventionnelle</w:t>
      </w:r>
      <w:proofErr w:type="spellEnd"/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). </w:t>
      </w:r>
      <w:proofErr w:type="gramStart"/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Le </w:t>
      </w:r>
      <w:proofErr w:type="spellStart"/>
      <w:r w:rsidR="009F4C6B" w:rsidRPr="00C2791A">
        <w:rPr>
          <w:rFonts w:asciiTheme="majorHAnsi" w:hAnsiTheme="majorHAnsi"/>
          <w:sz w:val="18"/>
          <w:szCs w:val="18"/>
          <w:lang w:val="en-GB"/>
        </w:rPr>
        <w:t>pourcentage</w:t>
      </w:r>
      <w:proofErr w:type="spellEnd"/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 de </w:t>
      </w:r>
      <w:proofErr w:type="spellStart"/>
      <w:r w:rsidR="009F4C6B" w:rsidRPr="00C2791A">
        <w:rPr>
          <w:rFonts w:asciiTheme="majorHAnsi" w:hAnsiTheme="majorHAnsi"/>
          <w:sz w:val="18"/>
          <w:szCs w:val="18"/>
          <w:lang w:val="en-GB"/>
        </w:rPr>
        <w:t>marchandises</w:t>
      </w:r>
      <w:proofErr w:type="spellEnd"/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9F4C6B" w:rsidRPr="00C2791A">
        <w:rPr>
          <w:rFonts w:asciiTheme="majorHAnsi" w:hAnsiTheme="majorHAnsi"/>
          <w:sz w:val="18"/>
          <w:szCs w:val="18"/>
          <w:lang w:val="en-GB"/>
        </w:rPr>
        <w:t>n’ayant</w:t>
      </w:r>
      <w:proofErr w:type="spellEnd"/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 pas </w:t>
      </w:r>
      <w:proofErr w:type="spellStart"/>
      <w:r w:rsidR="009F4C6B" w:rsidRPr="00C2791A">
        <w:rPr>
          <w:rFonts w:asciiTheme="majorHAnsi" w:hAnsiTheme="majorHAnsi"/>
          <w:sz w:val="18"/>
          <w:szCs w:val="18"/>
          <w:lang w:val="en-GB"/>
        </w:rPr>
        <w:t>d’unité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9F4C6B" w:rsidRPr="00C2791A">
        <w:rPr>
          <w:rFonts w:asciiTheme="majorHAnsi" w:hAnsiTheme="majorHAnsi"/>
          <w:sz w:val="18"/>
          <w:szCs w:val="18"/>
          <w:lang w:val="en-GB"/>
        </w:rPr>
        <w:t>conventionnelle</w:t>
      </w:r>
      <w:proofErr w:type="spellEnd"/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9F4C6B" w:rsidRPr="00C2791A">
        <w:rPr>
          <w:rFonts w:asciiTheme="majorHAnsi" w:hAnsiTheme="majorHAnsi"/>
          <w:sz w:val="18"/>
          <w:szCs w:val="18"/>
          <w:lang w:val="en-GB"/>
        </w:rPr>
        <w:t>atteint</w:t>
      </w:r>
      <w:proofErr w:type="spellEnd"/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9F4C6B" w:rsidRPr="00C2791A">
        <w:rPr>
          <w:rFonts w:asciiTheme="majorHAnsi" w:hAnsiTheme="majorHAnsi"/>
          <w:sz w:val="18"/>
          <w:szCs w:val="18"/>
          <w:lang w:val="en-GB"/>
        </w:rPr>
        <w:t>alors</w:t>
      </w:r>
      <w:proofErr w:type="spellEnd"/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r w:rsidR="005D01C0" w:rsidRPr="00C2791A">
        <w:rPr>
          <w:rFonts w:asciiTheme="majorHAnsi" w:hAnsiTheme="majorHAnsi"/>
          <w:sz w:val="18"/>
          <w:szCs w:val="18"/>
          <w:lang w:val="en-GB"/>
        </w:rPr>
        <w:t>45,27</w:t>
      </w:r>
      <w:r w:rsidRPr="00C2791A">
        <w:rPr>
          <w:rFonts w:asciiTheme="majorHAnsi" w:hAnsiTheme="majorHAnsi"/>
          <w:sz w:val="18"/>
          <w:szCs w:val="18"/>
          <w:lang w:val="en-GB"/>
        </w:rPr>
        <w:t>%.</w:t>
      </w:r>
      <w:proofErr w:type="gramEnd"/>
    </w:p>
    <w:p w14:paraId="0D31730A" w14:textId="77777777" w:rsidR="000D598C" w:rsidRPr="00C2791A" w:rsidRDefault="005C265E" w:rsidP="009F4C6B">
      <w:pPr>
        <w:jc w:val="right"/>
        <w:rPr>
          <w:lang w:val="en-GB"/>
        </w:rPr>
      </w:pPr>
      <w:r w:rsidRPr="00C2791A">
        <w:rPr>
          <w:rFonts w:asciiTheme="majorHAnsi" w:hAnsiTheme="majorHAnsi"/>
          <w:sz w:val="18"/>
          <w:szCs w:val="18"/>
          <w:lang w:val="en-GB"/>
        </w:rPr>
        <w:t xml:space="preserve">Les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unités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9F4C6B" w:rsidRPr="00C2791A">
        <w:rPr>
          <w:rFonts w:asciiTheme="majorHAnsi" w:hAnsiTheme="majorHAnsi"/>
          <w:sz w:val="18"/>
          <w:szCs w:val="18"/>
          <w:lang w:val="en-GB"/>
        </w:rPr>
        <w:t>conventionnelles</w:t>
      </w:r>
      <w:proofErr w:type="spellEnd"/>
      <w:r w:rsidR="009F4C6B" w:rsidRPr="00C2791A">
        <w:rPr>
          <w:rFonts w:asciiTheme="majorHAnsi" w:hAnsiTheme="majorHAnsi"/>
          <w:sz w:val="18"/>
          <w:szCs w:val="18"/>
          <w:lang w:val="en-GB"/>
        </w:rPr>
        <w:t xml:space="preserve"> de la base</w:t>
      </w:r>
      <w:r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sont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les </w:t>
      </w:r>
      <w:proofErr w:type="spellStart"/>
      <w:proofErr w:type="gramStart"/>
      <w:r w:rsidRPr="00C2791A">
        <w:rPr>
          <w:rFonts w:asciiTheme="majorHAnsi" w:hAnsiTheme="majorHAnsi"/>
          <w:sz w:val="18"/>
          <w:szCs w:val="18"/>
          <w:lang w:val="en-GB"/>
        </w:rPr>
        <w:t>suivantes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> :</w:t>
      </w:r>
      <w:proofErr w:type="gramEnd"/>
      <w:r w:rsidR="009F4C6B" w:rsidRPr="00C2791A">
        <w:rPr>
          <w:lang w:val="en-GB"/>
        </w:rPr>
        <w:t xml:space="preserve"> </w:t>
      </w:r>
    </w:p>
    <w:p w14:paraId="317C30A9" w14:textId="77777777" w:rsidR="00C51D6B" w:rsidRPr="00C2791A" w:rsidRDefault="00C51D6B" w:rsidP="009F4C6B">
      <w:pPr>
        <w:pBdr>
          <w:bottom w:val="single" w:sz="12" w:space="1" w:color="auto"/>
        </w:pBdr>
        <w:jc w:val="right"/>
        <w:rPr>
          <w:lang w:val="en-GB"/>
        </w:rPr>
      </w:pPr>
    </w:p>
    <w:p w14:paraId="298AFDE6" w14:textId="77777777" w:rsidR="00695FA4" w:rsidRPr="00C2791A" w:rsidRDefault="00695FA4" w:rsidP="009F4C6B">
      <w:pPr>
        <w:jc w:val="right"/>
        <w:rPr>
          <w:lang w:val="en-GB"/>
        </w:rPr>
      </w:pPr>
    </w:p>
    <w:p w14:paraId="4E4D6C5D" w14:textId="361F58E6" w:rsidR="00FD24F6" w:rsidRPr="00C2791A" w:rsidRDefault="00CC23C6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  <w:proofErr w:type="spellStart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Unités</w:t>
      </w:r>
      <w:proofErr w:type="spellEnd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</w:t>
      </w:r>
      <w:proofErr w:type="spellStart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conventionnelles</w:t>
      </w:r>
      <w:proofErr w:type="spellEnd"/>
      <w:r w:rsidR="00FD24F6"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en </w:t>
      </w:r>
      <w:proofErr w:type="spellStart"/>
      <w:r w:rsidR="00FD24F6"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fonction</w:t>
      </w:r>
      <w:proofErr w:type="spellEnd"/>
      <w:r w:rsidR="00FD24F6"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des </w:t>
      </w:r>
      <w:proofErr w:type="spellStart"/>
      <w:r w:rsidR="00FD24F6"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différent</w:t>
      </w:r>
      <w:r w:rsidR="000A5187"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e</w:t>
      </w:r>
      <w:r w:rsidR="00FD24F6"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s</w:t>
      </w:r>
      <w:proofErr w:type="spellEnd"/>
      <w:r w:rsidR="00FD24F6"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</w:t>
      </w:r>
      <w:r w:rsidR="000A5187"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directions</w:t>
      </w:r>
    </w:p>
    <w:p w14:paraId="0B42FEA9" w14:textId="77777777" w:rsidR="00FD24F6" w:rsidRPr="00C2791A" w:rsidRDefault="00FD24F6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19D60C75" w14:textId="77777777" w:rsidR="000A5187" w:rsidRPr="00C2791A" w:rsidRDefault="000A5187" w:rsidP="00FD24F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7D866F36" w14:textId="49AA7319" w:rsidR="00CC23C6" w:rsidRPr="00C2791A" w:rsidRDefault="00CC23C6" w:rsidP="00FD24F6">
      <w:pPr>
        <w:jc w:val="center"/>
        <w:rPr>
          <w:rFonts w:asciiTheme="majorHAnsi" w:hAnsiTheme="majorHAnsi"/>
          <w:sz w:val="18"/>
          <w:szCs w:val="18"/>
          <w:lang w:val="en-GB"/>
        </w:rPr>
      </w:pPr>
      <w:r w:rsidRPr="00C2791A">
        <w:rPr>
          <w:rFonts w:asciiTheme="majorHAnsi" w:hAnsiTheme="majorHAnsi"/>
          <w:sz w:val="18"/>
          <w:szCs w:val="18"/>
          <w:lang w:val="en-GB"/>
        </w:rPr>
        <w:t xml:space="preserve">Il y a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dans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la base 51 directions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enregistrant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les entrées </w:t>
      </w:r>
      <w:proofErr w:type="gramStart"/>
      <w:r w:rsidRPr="00C2791A">
        <w:rPr>
          <w:rFonts w:asciiTheme="majorHAnsi" w:hAnsiTheme="majorHAnsi"/>
          <w:sz w:val="18"/>
          <w:szCs w:val="18"/>
          <w:lang w:val="en-GB"/>
        </w:rPr>
        <w:t>et</w:t>
      </w:r>
      <w:proofErr w:type="gramEnd"/>
      <w:r w:rsidRPr="00C2791A">
        <w:rPr>
          <w:rFonts w:asciiTheme="majorHAnsi" w:hAnsiTheme="majorHAnsi"/>
          <w:sz w:val="18"/>
          <w:szCs w:val="18"/>
          <w:lang w:val="en-GB"/>
        </w:rPr>
        <w:t xml:space="preserve"> sorties de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marchandises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,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mais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on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décide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d’observer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ici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les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unités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conventionnelles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r w:rsidR="000A5187" w:rsidRPr="00C2791A">
        <w:rPr>
          <w:rFonts w:asciiTheme="majorHAnsi" w:hAnsiTheme="majorHAnsi"/>
          <w:sz w:val="18"/>
          <w:szCs w:val="18"/>
          <w:lang w:val="en-GB"/>
        </w:rPr>
        <w:t xml:space="preserve">en </w:t>
      </w:r>
      <w:proofErr w:type="spellStart"/>
      <w:r w:rsidR="000A5187" w:rsidRPr="00C2791A">
        <w:rPr>
          <w:rFonts w:asciiTheme="majorHAnsi" w:hAnsiTheme="majorHAnsi"/>
          <w:sz w:val="18"/>
          <w:szCs w:val="18"/>
          <w:lang w:val="en-GB"/>
        </w:rPr>
        <w:t>fonction</w:t>
      </w:r>
      <w:proofErr w:type="spellEnd"/>
      <w:r w:rsidR="000A5187" w:rsidRPr="00C2791A">
        <w:rPr>
          <w:rFonts w:asciiTheme="majorHAnsi" w:hAnsiTheme="majorHAnsi"/>
          <w:sz w:val="18"/>
          <w:szCs w:val="18"/>
          <w:lang w:val="en-GB"/>
        </w:rPr>
        <w:t xml:space="preserve"> des</w:t>
      </w:r>
      <w:r w:rsidRPr="00C2791A">
        <w:rPr>
          <w:rFonts w:asciiTheme="majorHAnsi" w:hAnsiTheme="majorHAnsi"/>
          <w:sz w:val="18"/>
          <w:szCs w:val="18"/>
          <w:lang w:val="en-GB"/>
        </w:rPr>
        <w:t xml:space="preserve"> directions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apparaissant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au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moins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1000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fois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dans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la base. </w:t>
      </w:r>
    </w:p>
    <w:p w14:paraId="43A8AAF0" w14:textId="77777777" w:rsidR="000A5187" w:rsidRPr="00C2791A" w:rsidRDefault="000A5187" w:rsidP="00FD24F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2F953082" w14:textId="77777777" w:rsidR="00CC23C6" w:rsidRPr="00C2791A" w:rsidRDefault="00CC23C6" w:rsidP="00FD24F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243048D3" w14:textId="296555B1" w:rsidR="00FD24F6" w:rsidRPr="00C2791A" w:rsidRDefault="00CC23C6" w:rsidP="00FD24F6">
      <w:pPr>
        <w:jc w:val="center"/>
        <w:rPr>
          <w:rFonts w:asciiTheme="majorHAnsi" w:hAnsiTheme="majorHAnsi"/>
          <w:sz w:val="18"/>
          <w:szCs w:val="18"/>
          <w:lang w:val="en-GB"/>
        </w:rPr>
      </w:pPr>
      <w:r w:rsidRPr="00C2791A">
        <w:rPr>
          <w:rFonts w:asciiTheme="majorHAnsi" w:hAnsiTheme="majorHAnsi"/>
          <w:noProof/>
          <w:sz w:val="18"/>
          <w:szCs w:val="18"/>
          <w:lang w:val="en-GB"/>
        </w:rPr>
        <w:drawing>
          <wp:inline distT="0" distB="0" distL="0" distR="0" wp14:anchorId="7059FA18" wp14:editId="5A580360">
            <wp:extent cx="5756910" cy="3357873"/>
            <wp:effectExtent l="0" t="0" r="8890" b="0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5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FB54" w14:textId="77777777" w:rsidR="00CC23C6" w:rsidRPr="00C2791A" w:rsidRDefault="00CC23C6" w:rsidP="00FD24F6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0972B077" w14:textId="77777777" w:rsidR="00CC23C6" w:rsidRPr="00C2791A" w:rsidRDefault="00CC23C6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38B28923" w14:textId="77777777" w:rsidR="000A5187" w:rsidRPr="00C2791A" w:rsidRDefault="000A5187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3443D649" w14:textId="77777777" w:rsidR="000A5187" w:rsidRPr="00C2791A" w:rsidRDefault="000A5187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29808ECE" w14:textId="77777777" w:rsidR="000A5187" w:rsidRPr="00C2791A" w:rsidRDefault="000A5187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43F337F9" w14:textId="77777777" w:rsidR="000A5187" w:rsidRPr="00C2791A" w:rsidRDefault="000A5187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64B71BB4" w14:textId="77777777" w:rsidR="000A5187" w:rsidRPr="00C2791A" w:rsidRDefault="000A5187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5FAEB6D5" w14:textId="77777777" w:rsidR="000A5187" w:rsidRPr="00C2791A" w:rsidRDefault="000A5187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2AD3D4F3" w14:textId="18AA759B" w:rsidR="00CC23C6" w:rsidRPr="00C2791A" w:rsidRDefault="00CC23C6" w:rsidP="00CC23C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  <w:proofErr w:type="spellStart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Unités</w:t>
      </w:r>
      <w:proofErr w:type="spellEnd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</w:t>
      </w:r>
      <w:proofErr w:type="spellStart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conventionnelles</w:t>
      </w:r>
      <w:proofErr w:type="spellEnd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en </w:t>
      </w:r>
      <w:proofErr w:type="spellStart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fonction</w:t>
      </w:r>
      <w:proofErr w:type="spellEnd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des </w:t>
      </w:r>
      <w:proofErr w:type="spellStart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différentes</w:t>
      </w:r>
      <w:proofErr w:type="spellEnd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</w:t>
      </w:r>
      <w:proofErr w:type="spellStart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marchandises</w:t>
      </w:r>
      <w:proofErr w:type="spellEnd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(</w:t>
      </w:r>
      <w:proofErr w:type="spellStart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catégories</w:t>
      </w:r>
      <w:proofErr w:type="spellEnd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SITC18)</w:t>
      </w:r>
    </w:p>
    <w:p w14:paraId="7888FF3C" w14:textId="77777777" w:rsidR="00CC23C6" w:rsidRPr="00C2791A" w:rsidRDefault="00CC23C6" w:rsidP="00CC23C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4CA8FF8A" w14:textId="77777777" w:rsidR="000A5187" w:rsidRPr="00C2791A" w:rsidRDefault="000A5187" w:rsidP="00CC23C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4DB9A566" w14:textId="0146BBBF" w:rsidR="00CC23C6" w:rsidRPr="00C2791A" w:rsidRDefault="00CC23C6" w:rsidP="00CC23C6">
      <w:pPr>
        <w:jc w:val="center"/>
        <w:rPr>
          <w:rFonts w:asciiTheme="majorHAnsi" w:hAnsiTheme="majorHAnsi"/>
          <w:sz w:val="18"/>
          <w:szCs w:val="18"/>
          <w:lang w:val="en-GB"/>
        </w:rPr>
      </w:pPr>
      <w:r w:rsidRPr="00C2791A">
        <w:rPr>
          <w:rFonts w:asciiTheme="majorHAnsi" w:hAnsiTheme="majorHAnsi"/>
          <w:sz w:val="18"/>
          <w:szCs w:val="18"/>
          <w:lang w:val="en-GB"/>
        </w:rPr>
        <w:t xml:space="preserve">Il y a </w:t>
      </w:r>
      <w:proofErr w:type="spellStart"/>
      <w:r w:rsidRPr="00C2791A">
        <w:rPr>
          <w:rFonts w:asciiTheme="majorHAnsi" w:hAnsiTheme="majorHAnsi"/>
          <w:sz w:val="18"/>
          <w:szCs w:val="18"/>
          <w:lang w:val="en-GB"/>
        </w:rPr>
        <w:t>dans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 la base </w:t>
      </w:r>
      <w:r w:rsidR="000A5187" w:rsidRPr="00C2791A">
        <w:rPr>
          <w:rFonts w:asciiTheme="majorHAnsi" w:hAnsiTheme="majorHAnsi"/>
          <w:sz w:val="18"/>
          <w:szCs w:val="18"/>
          <w:lang w:val="en-GB"/>
        </w:rPr>
        <w:t xml:space="preserve">24 </w:t>
      </w:r>
      <w:proofErr w:type="spellStart"/>
      <w:r w:rsidR="000A5187" w:rsidRPr="00C2791A">
        <w:rPr>
          <w:rFonts w:asciiTheme="majorHAnsi" w:hAnsiTheme="majorHAnsi"/>
          <w:sz w:val="18"/>
          <w:szCs w:val="18"/>
          <w:lang w:val="en-GB"/>
        </w:rPr>
        <w:t>catégories</w:t>
      </w:r>
      <w:proofErr w:type="spellEnd"/>
      <w:r w:rsidR="000A5187" w:rsidRPr="00C2791A">
        <w:rPr>
          <w:rFonts w:asciiTheme="majorHAnsi" w:hAnsiTheme="majorHAnsi"/>
          <w:sz w:val="18"/>
          <w:szCs w:val="18"/>
          <w:lang w:val="en-GB"/>
        </w:rPr>
        <w:t xml:space="preserve"> SITC18</w:t>
      </w:r>
      <w:r w:rsidRPr="00C2791A">
        <w:rPr>
          <w:rFonts w:asciiTheme="majorHAnsi" w:hAnsiTheme="majorHAnsi"/>
          <w:sz w:val="18"/>
          <w:szCs w:val="18"/>
          <w:lang w:val="en-GB"/>
        </w:rPr>
        <w:t xml:space="preserve">, </w:t>
      </w:r>
      <w:r w:rsidR="000A5187" w:rsidRPr="00C2791A">
        <w:rPr>
          <w:rFonts w:asciiTheme="majorHAnsi" w:hAnsiTheme="majorHAnsi"/>
          <w:sz w:val="18"/>
          <w:szCs w:val="18"/>
          <w:lang w:val="en-GB"/>
        </w:rPr>
        <w:t xml:space="preserve">on observe </w:t>
      </w:r>
      <w:proofErr w:type="spellStart"/>
      <w:r w:rsidR="000A5187" w:rsidRPr="00C2791A">
        <w:rPr>
          <w:rFonts w:asciiTheme="majorHAnsi" w:hAnsiTheme="majorHAnsi"/>
          <w:sz w:val="18"/>
          <w:szCs w:val="18"/>
          <w:lang w:val="en-GB"/>
        </w:rPr>
        <w:t>ici</w:t>
      </w:r>
      <w:proofErr w:type="spellEnd"/>
      <w:r w:rsidR="000A5187" w:rsidRPr="00C2791A">
        <w:rPr>
          <w:rFonts w:asciiTheme="majorHAnsi" w:hAnsiTheme="majorHAnsi"/>
          <w:sz w:val="18"/>
          <w:szCs w:val="18"/>
          <w:lang w:val="en-GB"/>
        </w:rPr>
        <w:t xml:space="preserve"> les </w:t>
      </w:r>
      <w:proofErr w:type="spellStart"/>
      <w:r w:rsidR="000A5187" w:rsidRPr="00C2791A">
        <w:rPr>
          <w:rFonts w:asciiTheme="majorHAnsi" w:hAnsiTheme="majorHAnsi"/>
          <w:sz w:val="18"/>
          <w:szCs w:val="18"/>
          <w:lang w:val="en-GB"/>
        </w:rPr>
        <w:t>unités</w:t>
      </w:r>
      <w:proofErr w:type="spellEnd"/>
      <w:r w:rsidR="000A5187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0A5187" w:rsidRPr="00C2791A">
        <w:rPr>
          <w:rFonts w:asciiTheme="majorHAnsi" w:hAnsiTheme="majorHAnsi"/>
          <w:sz w:val="18"/>
          <w:szCs w:val="18"/>
          <w:lang w:val="en-GB"/>
        </w:rPr>
        <w:t>conventionnelles</w:t>
      </w:r>
      <w:proofErr w:type="spellEnd"/>
      <w:r w:rsidR="000A5187" w:rsidRPr="00C2791A">
        <w:rPr>
          <w:rFonts w:asciiTheme="majorHAnsi" w:hAnsiTheme="majorHAnsi"/>
          <w:sz w:val="18"/>
          <w:szCs w:val="18"/>
          <w:lang w:val="en-GB"/>
        </w:rPr>
        <w:t xml:space="preserve"> en </w:t>
      </w:r>
      <w:proofErr w:type="spellStart"/>
      <w:r w:rsidR="000A5187" w:rsidRPr="00C2791A">
        <w:rPr>
          <w:rFonts w:asciiTheme="majorHAnsi" w:hAnsiTheme="majorHAnsi"/>
          <w:sz w:val="18"/>
          <w:szCs w:val="18"/>
          <w:lang w:val="en-GB"/>
        </w:rPr>
        <w:t>fonction</w:t>
      </w:r>
      <w:proofErr w:type="spellEnd"/>
      <w:r w:rsidR="000A5187" w:rsidRPr="00C2791A">
        <w:rPr>
          <w:rFonts w:asciiTheme="majorHAnsi" w:hAnsiTheme="majorHAnsi"/>
          <w:sz w:val="18"/>
          <w:szCs w:val="18"/>
          <w:lang w:val="en-GB"/>
        </w:rPr>
        <w:t xml:space="preserve"> de </w:t>
      </w:r>
      <w:proofErr w:type="spellStart"/>
      <w:r w:rsidR="000A5187" w:rsidRPr="00C2791A">
        <w:rPr>
          <w:rFonts w:asciiTheme="majorHAnsi" w:hAnsiTheme="majorHAnsi"/>
          <w:sz w:val="18"/>
          <w:szCs w:val="18"/>
          <w:lang w:val="en-GB"/>
        </w:rPr>
        <w:t>ces</w:t>
      </w:r>
      <w:proofErr w:type="spellEnd"/>
      <w:r w:rsidR="000A5187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0A5187" w:rsidRPr="00C2791A">
        <w:rPr>
          <w:rFonts w:asciiTheme="majorHAnsi" w:hAnsiTheme="majorHAnsi"/>
          <w:sz w:val="18"/>
          <w:szCs w:val="18"/>
          <w:lang w:val="en-GB"/>
        </w:rPr>
        <w:t>diverses</w:t>
      </w:r>
      <w:proofErr w:type="spellEnd"/>
      <w:r w:rsidR="000A5187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 w:rsidR="000A5187" w:rsidRPr="00C2791A">
        <w:rPr>
          <w:rFonts w:asciiTheme="majorHAnsi" w:hAnsiTheme="majorHAnsi"/>
          <w:sz w:val="18"/>
          <w:szCs w:val="18"/>
          <w:lang w:val="en-GB"/>
        </w:rPr>
        <w:t>catégories</w:t>
      </w:r>
      <w:proofErr w:type="spellEnd"/>
      <w:r w:rsidRPr="00C2791A">
        <w:rPr>
          <w:rFonts w:asciiTheme="majorHAnsi" w:hAnsiTheme="majorHAnsi"/>
          <w:sz w:val="18"/>
          <w:szCs w:val="18"/>
          <w:lang w:val="en-GB"/>
        </w:rPr>
        <w:t xml:space="preserve">. </w:t>
      </w:r>
    </w:p>
    <w:p w14:paraId="0A603C22" w14:textId="77777777" w:rsidR="000A5187" w:rsidRPr="00C2791A" w:rsidRDefault="000A5187" w:rsidP="00CC23C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7EF8097B" w14:textId="77777777" w:rsidR="000A5187" w:rsidRPr="00C2791A" w:rsidRDefault="000A5187" w:rsidP="00CC23C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0C90BE28" w14:textId="1C365FA7" w:rsidR="000A5187" w:rsidRPr="00C2791A" w:rsidRDefault="000A5187" w:rsidP="00CC23C6">
      <w:pPr>
        <w:jc w:val="center"/>
        <w:rPr>
          <w:rFonts w:asciiTheme="majorHAnsi" w:hAnsiTheme="majorHAnsi"/>
          <w:sz w:val="18"/>
          <w:szCs w:val="18"/>
          <w:lang w:val="en-GB"/>
        </w:rPr>
      </w:pPr>
      <w:r w:rsidRPr="00C2791A">
        <w:rPr>
          <w:rFonts w:asciiTheme="majorHAnsi" w:hAnsiTheme="majorHAnsi"/>
          <w:noProof/>
          <w:sz w:val="18"/>
          <w:szCs w:val="18"/>
          <w:lang w:val="en-GB"/>
        </w:rPr>
        <w:drawing>
          <wp:inline distT="0" distB="0" distL="0" distR="0" wp14:anchorId="4D7A02D0" wp14:editId="238AAB30">
            <wp:extent cx="5756910" cy="4043684"/>
            <wp:effectExtent l="0" t="0" r="8890" b="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4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67B6" w14:textId="77777777" w:rsidR="00CC23C6" w:rsidRPr="00C2791A" w:rsidRDefault="00CC23C6" w:rsidP="00CC23C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637A144A" w14:textId="77777777" w:rsidR="00CC23C6" w:rsidRPr="00C2791A" w:rsidRDefault="00CC23C6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7D141F31" w14:textId="77777777" w:rsidR="00695FA4" w:rsidRPr="00C2791A" w:rsidRDefault="00695FA4" w:rsidP="009F4C6B">
      <w:pPr>
        <w:jc w:val="right"/>
        <w:rPr>
          <w:lang w:val="en-GB"/>
        </w:rPr>
      </w:pPr>
    </w:p>
    <w:p w14:paraId="78D6A388" w14:textId="77777777" w:rsidR="00C51D6B" w:rsidRPr="00C2791A" w:rsidRDefault="00C51D6B" w:rsidP="009F4C6B">
      <w:pPr>
        <w:jc w:val="right"/>
        <w:rPr>
          <w:lang w:val="en-GB"/>
        </w:rPr>
      </w:pPr>
    </w:p>
    <w:p w14:paraId="5D4C8F64" w14:textId="59FC2026" w:rsidR="00C51D6B" w:rsidRDefault="00C51D6B" w:rsidP="009F4C6B">
      <w:pPr>
        <w:jc w:val="right"/>
      </w:pPr>
    </w:p>
    <w:sectPr w:rsidR="00C51D6B" w:rsidSect="005C265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36"/>
    <w:rsid w:val="000A5187"/>
    <w:rsid w:val="000D598C"/>
    <w:rsid w:val="00104D36"/>
    <w:rsid w:val="001A3D29"/>
    <w:rsid w:val="002125E1"/>
    <w:rsid w:val="00527C79"/>
    <w:rsid w:val="005621AE"/>
    <w:rsid w:val="005C265E"/>
    <w:rsid w:val="005D01C0"/>
    <w:rsid w:val="00610880"/>
    <w:rsid w:val="00695FA4"/>
    <w:rsid w:val="006C33AF"/>
    <w:rsid w:val="007C6626"/>
    <w:rsid w:val="00941909"/>
    <w:rsid w:val="00947EE3"/>
    <w:rsid w:val="009F4C6B"/>
    <w:rsid w:val="00A1338D"/>
    <w:rsid w:val="00A417F9"/>
    <w:rsid w:val="00A65237"/>
    <w:rsid w:val="00C2791A"/>
    <w:rsid w:val="00C51D6B"/>
    <w:rsid w:val="00CC23C6"/>
    <w:rsid w:val="00E62E2A"/>
    <w:rsid w:val="00FD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E5C2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D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4D3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4D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D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4D3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4D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9DD3C6-CF8E-7C41-A4E5-B8F9C5338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378</Words>
  <Characters>2085</Characters>
  <Application>Microsoft Macintosh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5</cp:revision>
  <dcterms:created xsi:type="dcterms:W3CDTF">2016-12-11T20:26:00Z</dcterms:created>
  <dcterms:modified xsi:type="dcterms:W3CDTF">2016-12-15T15:40:00Z</dcterms:modified>
</cp:coreProperties>
</file>