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BD65F" w14:textId="77777777" w:rsidR="00104D36" w:rsidRDefault="00104D36" w:rsidP="00104D36">
      <w:pPr>
        <w:jc w:val="center"/>
        <w:rPr>
          <w:rFonts w:asciiTheme="majorHAnsi" w:hAnsiTheme="majorHAnsi"/>
          <w:b/>
          <w:color w:val="FF0000"/>
          <w:u w:val="single"/>
        </w:rPr>
      </w:pPr>
      <w:r>
        <w:rPr>
          <w:rFonts w:asciiTheme="majorHAnsi" w:hAnsiTheme="majorHAnsi"/>
          <w:b/>
          <w:color w:val="FF0000"/>
          <w:u w:val="single"/>
        </w:rPr>
        <w:t>Statistiques unités de mesure – base de données courante</w:t>
      </w:r>
    </w:p>
    <w:p w14:paraId="1B8BCA9D" w14:textId="77777777" w:rsidR="00A417F9" w:rsidRDefault="00A417F9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  <w:sectPr w:rsidR="00A417F9" w:rsidSect="000D598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CE8A32E" w14:textId="77777777" w:rsidR="00104D36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63C8F3C0" w14:textId="77777777" w:rsidR="00104D36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  <w:sectPr w:rsidR="00104D36" w:rsidSect="00A417F9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2F3BF700" w14:textId="77777777" w:rsidR="00104D36" w:rsidRPr="00A80675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lastRenderedPageBreak/>
        <w:t>1</w:t>
      </w:r>
      <w:r w:rsidRPr="00104D36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</w:rPr>
        <w:t>ère</w:t>
      </w: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 partie : unités présentes dans les sources</w:t>
      </w:r>
    </w:p>
    <w:p w14:paraId="2A7F8435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78FFAA7C" w14:textId="77777777" w:rsidR="00A417F9" w:rsidRDefault="00A417F9" w:rsidP="00A417F9">
      <w:pPr>
        <w:rPr>
          <w:rFonts w:asciiTheme="majorHAnsi" w:hAnsiTheme="majorHAnsi"/>
          <w:sz w:val="18"/>
          <w:szCs w:val="18"/>
        </w:rPr>
      </w:pPr>
    </w:p>
    <w:p w14:paraId="033C50F6" w14:textId="77777777" w:rsidR="00A417F9" w:rsidRDefault="00A417F9" w:rsidP="00A417F9">
      <w:pPr>
        <w:rPr>
          <w:rFonts w:asciiTheme="majorHAnsi" w:hAnsiTheme="majorHAnsi"/>
          <w:sz w:val="18"/>
          <w:szCs w:val="18"/>
        </w:rPr>
      </w:pPr>
      <w:r w:rsidRPr="00A417F9"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D16EC4F" wp14:editId="337463A9">
            <wp:simplePos x="0" y="0"/>
            <wp:positionH relativeFrom="column">
              <wp:posOffset>3314700</wp:posOffset>
            </wp:positionH>
            <wp:positionV relativeFrom="paragraph">
              <wp:posOffset>-6350</wp:posOffset>
            </wp:positionV>
            <wp:extent cx="2402205" cy="1446530"/>
            <wp:effectExtent l="0" t="0" r="10795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A8EDC" w14:textId="77777777" w:rsidR="00A417F9" w:rsidRDefault="00A417F9" w:rsidP="00A417F9">
      <w:pPr>
        <w:rPr>
          <w:rFonts w:asciiTheme="majorHAnsi" w:hAnsiTheme="majorHAnsi"/>
          <w:sz w:val="18"/>
          <w:szCs w:val="18"/>
        </w:rPr>
      </w:pPr>
    </w:p>
    <w:p w14:paraId="16476F2F" w14:textId="77777777" w:rsidR="00104D36" w:rsidRDefault="00104D36" w:rsidP="00A417F9">
      <w:pPr>
        <w:rPr>
          <w:rFonts w:asciiTheme="majorHAnsi" w:hAnsiTheme="majorHAnsi"/>
          <w:sz w:val="18"/>
          <w:szCs w:val="18"/>
        </w:rPr>
      </w:pPr>
      <w:r w:rsidRPr="00A80675">
        <w:rPr>
          <w:rFonts w:asciiTheme="majorHAnsi" w:hAnsiTheme="majorHAnsi"/>
          <w:sz w:val="18"/>
          <w:szCs w:val="18"/>
        </w:rPr>
        <w:t xml:space="preserve">La base recense actuellement </w:t>
      </w:r>
      <w:r>
        <w:rPr>
          <w:rFonts w:asciiTheme="majorHAnsi" w:hAnsiTheme="majorHAnsi"/>
          <w:sz w:val="18"/>
          <w:szCs w:val="18"/>
        </w:rPr>
        <w:t>1 580 unités de mesure provenant des retranscriptions des sources.</w:t>
      </w:r>
    </w:p>
    <w:p w14:paraId="4D811FB6" w14:textId="77777777" w:rsidR="00104D36" w:rsidRDefault="00104D36" w:rsidP="00A417F9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Il y a 156 993 marchandises pour lesquelles les unités ne sont pas renseignées sur les 440 142 de la base (soit 35,67% d’unités manquantes).</w:t>
      </w:r>
    </w:p>
    <w:p w14:paraId="6DAA6773" w14:textId="77777777" w:rsidR="00104D36" w:rsidRDefault="00104D36" w:rsidP="00A417F9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Les unités les plus présentes dans la base sont les suivantes : </w:t>
      </w:r>
    </w:p>
    <w:p w14:paraId="3D4F9AEB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31F6F1D4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69A81E4A" w14:textId="77777777" w:rsidR="00A417F9" w:rsidRDefault="00A417F9" w:rsidP="00A417F9">
      <w:pPr>
        <w:rPr>
          <w:rFonts w:asciiTheme="majorHAnsi" w:hAnsiTheme="majorHAnsi"/>
          <w:sz w:val="18"/>
          <w:szCs w:val="18"/>
        </w:rPr>
      </w:pPr>
    </w:p>
    <w:p w14:paraId="719EF9A3" w14:textId="77777777" w:rsidR="00104D36" w:rsidRDefault="00104D36" w:rsidP="00104D36">
      <w:pPr>
        <w:pBdr>
          <w:bottom w:val="single" w:sz="12" w:space="1" w:color="auto"/>
        </w:pBdr>
        <w:rPr>
          <w:rFonts w:asciiTheme="majorHAnsi" w:hAnsiTheme="majorHAnsi"/>
          <w:sz w:val="18"/>
          <w:szCs w:val="18"/>
        </w:rPr>
      </w:pPr>
    </w:p>
    <w:p w14:paraId="7ADBCC9C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5D457A2D" w14:textId="77777777" w:rsidR="00104D36" w:rsidRPr="00A80675" w:rsidRDefault="00104D36" w:rsidP="00104D3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2</w:t>
      </w:r>
      <w:r w:rsidRPr="00104D36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</w:rPr>
        <w:t>e</w:t>
      </w: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 partie : unités normalisées orthographiquement</w:t>
      </w:r>
    </w:p>
    <w:p w14:paraId="4D6CF3C7" w14:textId="77777777" w:rsidR="00104D36" w:rsidRDefault="00104D36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67D0F48E" w14:textId="77777777" w:rsidR="00941909" w:rsidRDefault="00941909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5642CE91" w14:textId="77777777" w:rsidR="00104D36" w:rsidRDefault="00941909" w:rsidP="00941909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3201B2C" wp14:editId="51BF131E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2799715" cy="163639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1AE">
        <w:rPr>
          <w:rFonts w:asciiTheme="majorHAnsi" w:hAnsiTheme="majorHAnsi"/>
          <w:sz w:val="18"/>
          <w:szCs w:val="18"/>
        </w:rPr>
        <w:t>Il y a dans la base 658 unités normalisées orthographiquement, soit une réduction du nombre d’unités de 58,35% par rapport aux unités provenant des retranscriptions des sources.</w:t>
      </w:r>
    </w:p>
    <w:p w14:paraId="5BFB687E" w14:textId="77777777" w:rsidR="005621AE" w:rsidRDefault="005621AE" w:rsidP="00941909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Il y a 157 325 marchandises pour lesquelles les unités normalisées orthographiquement ne sont pas renseignées </w:t>
      </w:r>
      <w:proofErr w:type="gramStart"/>
      <w:r>
        <w:rPr>
          <w:rFonts w:asciiTheme="majorHAnsi" w:hAnsiTheme="majorHAnsi"/>
          <w:sz w:val="18"/>
          <w:szCs w:val="18"/>
        </w:rPr>
        <w:t>sur</w:t>
      </w:r>
      <w:proofErr w:type="gramEnd"/>
      <w:r>
        <w:rPr>
          <w:rFonts w:asciiTheme="majorHAnsi" w:hAnsiTheme="majorHAnsi"/>
          <w:sz w:val="18"/>
          <w:szCs w:val="18"/>
        </w:rPr>
        <w:t xml:space="preserve"> les 440 142 de la base, c’est-à-dire que 332 marchandises ayant une unité retranscrite n’ont pas d’unités normalisées orthographiquement (soit un taux de normalisation orthographique </w:t>
      </w:r>
      <w:r w:rsidR="00A417F9">
        <w:rPr>
          <w:rFonts w:asciiTheme="majorHAnsi" w:hAnsiTheme="majorHAnsi"/>
          <w:sz w:val="18"/>
          <w:szCs w:val="18"/>
        </w:rPr>
        <w:t xml:space="preserve">des unités </w:t>
      </w:r>
      <w:r>
        <w:rPr>
          <w:rFonts w:asciiTheme="majorHAnsi" w:hAnsiTheme="majorHAnsi"/>
          <w:sz w:val="18"/>
          <w:szCs w:val="18"/>
        </w:rPr>
        <w:t>de 99,</w:t>
      </w:r>
      <w:r w:rsidR="00A417F9">
        <w:rPr>
          <w:rFonts w:asciiTheme="majorHAnsi" w:hAnsiTheme="majorHAnsi"/>
          <w:sz w:val="18"/>
          <w:szCs w:val="18"/>
        </w:rPr>
        <w:t>89%</w:t>
      </w:r>
      <w:r>
        <w:rPr>
          <w:rFonts w:asciiTheme="majorHAnsi" w:hAnsiTheme="majorHAnsi"/>
          <w:sz w:val="18"/>
          <w:szCs w:val="18"/>
        </w:rPr>
        <w:t>).</w:t>
      </w:r>
      <w:r w:rsidR="00A417F9">
        <w:rPr>
          <w:rFonts w:asciiTheme="majorHAnsi" w:hAnsiTheme="majorHAnsi"/>
          <w:sz w:val="18"/>
          <w:szCs w:val="18"/>
        </w:rPr>
        <w:t xml:space="preserve"> Le pourcentage d’unités normalisées orthographiquement manquantes atteint alors 35,74%.</w:t>
      </w:r>
    </w:p>
    <w:p w14:paraId="56E47F1E" w14:textId="77777777" w:rsidR="00A417F9" w:rsidRDefault="00A417F9" w:rsidP="00941909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Les unités normalisées orthographiquement les plus présentes sont les suivantes :</w:t>
      </w:r>
    </w:p>
    <w:p w14:paraId="16ED7778" w14:textId="77777777" w:rsidR="00A417F9" w:rsidRDefault="00A417F9" w:rsidP="005621AE">
      <w:pPr>
        <w:jc w:val="center"/>
        <w:rPr>
          <w:rFonts w:asciiTheme="majorHAnsi" w:hAnsiTheme="majorHAnsi"/>
          <w:sz w:val="18"/>
          <w:szCs w:val="18"/>
        </w:rPr>
      </w:pPr>
    </w:p>
    <w:p w14:paraId="2F0CFAB4" w14:textId="77777777" w:rsidR="00941909" w:rsidRDefault="00941909" w:rsidP="00941909">
      <w:pPr>
        <w:pBdr>
          <w:bottom w:val="single" w:sz="12" w:space="1" w:color="auto"/>
        </w:pBdr>
        <w:rPr>
          <w:rFonts w:asciiTheme="majorHAnsi" w:hAnsiTheme="majorHAnsi"/>
          <w:sz w:val="18"/>
          <w:szCs w:val="18"/>
        </w:rPr>
      </w:pPr>
    </w:p>
    <w:p w14:paraId="1FFAA981" w14:textId="77777777" w:rsidR="00941909" w:rsidRDefault="00941909" w:rsidP="00941909">
      <w:pPr>
        <w:jc w:val="center"/>
        <w:rPr>
          <w:rFonts w:asciiTheme="majorHAnsi" w:hAnsiTheme="majorHAnsi"/>
          <w:sz w:val="18"/>
          <w:szCs w:val="18"/>
        </w:rPr>
      </w:pPr>
    </w:p>
    <w:p w14:paraId="6E4572BB" w14:textId="77777777" w:rsidR="00941909" w:rsidRPr="00A80675" w:rsidRDefault="00941909" w:rsidP="00941909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3</w:t>
      </w:r>
      <w:r w:rsidRPr="00104D36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</w:rPr>
        <w:t>e</w:t>
      </w: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 partie : unités </w:t>
      </w:r>
      <w:r w:rsidR="00E62E2A">
        <w:rPr>
          <w:rFonts w:asciiTheme="majorHAnsi" w:hAnsiTheme="majorHAnsi"/>
          <w:color w:val="1F497D" w:themeColor="text2"/>
          <w:sz w:val="22"/>
          <w:szCs w:val="22"/>
          <w:u w:val="single"/>
        </w:rPr>
        <w:t>ajustées</w:t>
      </w:r>
    </w:p>
    <w:p w14:paraId="794F6AF6" w14:textId="77777777" w:rsidR="00A417F9" w:rsidRDefault="00A417F9" w:rsidP="005621AE">
      <w:pPr>
        <w:jc w:val="center"/>
        <w:rPr>
          <w:rFonts w:asciiTheme="majorHAnsi" w:hAnsiTheme="majorHAnsi"/>
          <w:sz w:val="18"/>
          <w:szCs w:val="18"/>
        </w:rPr>
        <w:sectPr w:rsidR="00A417F9" w:rsidSect="00A417F9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76C76975" w14:textId="77777777" w:rsidR="00A417F9" w:rsidRDefault="00A417F9" w:rsidP="005621AE">
      <w:pPr>
        <w:jc w:val="center"/>
        <w:rPr>
          <w:rFonts w:asciiTheme="majorHAnsi" w:hAnsiTheme="majorHAnsi"/>
          <w:sz w:val="18"/>
          <w:szCs w:val="18"/>
        </w:rPr>
      </w:pPr>
    </w:p>
    <w:p w14:paraId="5B25A4B7" w14:textId="1A895E8F" w:rsidR="005C265E" w:rsidRDefault="007C6626" w:rsidP="005621AE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700D2BC9" wp14:editId="21CA5E8C">
            <wp:simplePos x="0" y="0"/>
            <wp:positionH relativeFrom="column">
              <wp:posOffset>2628900</wp:posOffset>
            </wp:positionH>
            <wp:positionV relativeFrom="paragraph">
              <wp:posOffset>128270</wp:posOffset>
            </wp:positionV>
            <wp:extent cx="3178175" cy="1600200"/>
            <wp:effectExtent l="0" t="0" r="0" b="0"/>
            <wp:wrapSquare wrapText="bothSides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CDA05" w14:textId="77777777" w:rsidR="005C265E" w:rsidRDefault="005C265E" w:rsidP="005621AE">
      <w:pPr>
        <w:jc w:val="center"/>
        <w:rPr>
          <w:rFonts w:asciiTheme="majorHAnsi" w:hAnsiTheme="majorHAnsi"/>
          <w:sz w:val="18"/>
          <w:szCs w:val="18"/>
        </w:rPr>
      </w:pPr>
    </w:p>
    <w:p w14:paraId="29B4CDFB" w14:textId="77777777" w:rsidR="005C265E" w:rsidRDefault="005C265E" w:rsidP="002125E1">
      <w:pPr>
        <w:rPr>
          <w:rFonts w:asciiTheme="majorHAnsi" w:hAnsiTheme="majorHAnsi"/>
          <w:sz w:val="18"/>
          <w:szCs w:val="18"/>
        </w:rPr>
        <w:sectPr w:rsidR="005C265E" w:rsidSect="00104D36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84ED9B2" w14:textId="572F2A40" w:rsidR="002125E1" w:rsidRDefault="007C6626" w:rsidP="002125E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lastRenderedPageBreak/>
        <w:t>Il y a dans la base 17</w:t>
      </w:r>
      <w:r w:rsidR="00E62E2A">
        <w:rPr>
          <w:rFonts w:asciiTheme="majorHAnsi" w:hAnsiTheme="majorHAnsi"/>
          <w:sz w:val="18"/>
          <w:szCs w:val="18"/>
        </w:rPr>
        <w:t xml:space="preserve">9 unités ajustées, soit une réduction du nombre d’unités de </w:t>
      </w:r>
      <w:r>
        <w:rPr>
          <w:rFonts w:asciiTheme="majorHAnsi" w:hAnsiTheme="majorHAnsi"/>
          <w:sz w:val="18"/>
          <w:szCs w:val="18"/>
        </w:rPr>
        <w:t>72,80</w:t>
      </w:r>
      <w:r w:rsidR="00E62E2A">
        <w:rPr>
          <w:rFonts w:asciiTheme="majorHAnsi" w:hAnsiTheme="majorHAnsi"/>
          <w:sz w:val="18"/>
          <w:szCs w:val="18"/>
        </w:rPr>
        <w:t xml:space="preserve">% par rapport aux unités normalisées orthographiquement, et de </w:t>
      </w:r>
      <w:r>
        <w:rPr>
          <w:rFonts w:asciiTheme="majorHAnsi" w:hAnsiTheme="majorHAnsi"/>
          <w:sz w:val="18"/>
          <w:szCs w:val="18"/>
        </w:rPr>
        <w:t>88,67</w:t>
      </w:r>
      <w:r w:rsidR="00E62E2A">
        <w:rPr>
          <w:rFonts w:asciiTheme="majorHAnsi" w:hAnsiTheme="majorHAnsi"/>
          <w:sz w:val="18"/>
          <w:szCs w:val="18"/>
        </w:rPr>
        <w:t>% par rapport aux unités provenant des retranscriptions des sources</w:t>
      </w:r>
      <w:r w:rsidR="002125E1">
        <w:rPr>
          <w:rFonts w:asciiTheme="majorHAnsi" w:hAnsiTheme="majorHAnsi"/>
          <w:sz w:val="18"/>
          <w:szCs w:val="18"/>
        </w:rPr>
        <w:t>.</w:t>
      </w:r>
      <w:r w:rsidR="00A1338D">
        <w:rPr>
          <w:rFonts w:asciiTheme="majorHAnsi" w:hAnsiTheme="majorHAnsi"/>
          <w:sz w:val="18"/>
          <w:szCs w:val="18"/>
        </w:rPr>
        <w:t xml:space="preserve"> </w:t>
      </w:r>
    </w:p>
    <w:p w14:paraId="24024E65" w14:textId="62E4CC94" w:rsidR="002125E1" w:rsidRDefault="002125E1" w:rsidP="002125E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Il y a </w:t>
      </w:r>
      <w:r w:rsidR="007C6626">
        <w:rPr>
          <w:rFonts w:asciiTheme="majorHAnsi" w:hAnsiTheme="majorHAnsi"/>
          <w:sz w:val="18"/>
          <w:szCs w:val="18"/>
        </w:rPr>
        <w:t>198 571</w:t>
      </w:r>
      <w:r>
        <w:rPr>
          <w:rFonts w:asciiTheme="majorHAnsi" w:hAnsiTheme="majorHAnsi"/>
          <w:sz w:val="18"/>
          <w:szCs w:val="18"/>
        </w:rPr>
        <w:t xml:space="preserve"> marchandises pour lesquelles les unités </w:t>
      </w:r>
      <w:r w:rsidR="00E62E2A">
        <w:rPr>
          <w:rFonts w:asciiTheme="majorHAnsi" w:hAnsiTheme="majorHAnsi"/>
          <w:sz w:val="18"/>
          <w:szCs w:val="18"/>
        </w:rPr>
        <w:t xml:space="preserve">ajustées </w:t>
      </w:r>
      <w:r>
        <w:rPr>
          <w:rFonts w:asciiTheme="majorHAnsi" w:hAnsiTheme="majorHAnsi"/>
          <w:sz w:val="18"/>
          <w:szCs w:val="18"/>
        </w:rPr>
        <w:t>ne sont pas renseignées sur les 440 142 de la base</w:t>
      </w:r>
      <w:r w:rsidR="00E62E2A">
        <w:rPr>
          <w:rFonts w:asciiTheme="majorHAnsi" w:hAnsiTheme="majorHAnsi"/>
          <w:sz w:val="18"/>
          <w:szCs w:val="18"/>
        </w:rPr>
        <w:t xml:space="preserve">, c’est-à-dire que </w:t>
      </w:r>
      <w:r w:rsidR="00A1338D">
        <w:rPr>
          <w:rFonts w:asciiTheme="majorHAnsi" w:hAnsiTheme="majorHAnsi"/>
          <w:sz w:val="18"/>
          <w:szCs w:val="18"/>
        </w:rPr>
        <w:t>41 246</w:t>
      </w:r>
      <w:r w:rsidR="00E62E2A">
        <w:rPr>
          <w:rFonts w:asciiTheme="majorHAnsi" w:hAnsiTheme="majorHAnsi"/>
          <w:sz w:val="18"/>
          <w:szCs w:val="18"/>
        </w:rPr>
        <w:t xml:space="preserve"> marchandises ayant une unité normalisée orthographiquement n’ont pas</w:t>
      </w:r>
      <w:r w:rsidR="009F4C6B">
        <w:rPr>
          <w:rFonts w:asciiTheme="majorHAnsi" w:hAnsiTheme="majorHAnsi"/>
          <w:sz w:val="18"/>
          <w:szCs w:val="18"/>
        </w:rPr>
        <w:t xml:space="preserve"> d’unité ajustée (soit </w:t>
      </w:r>
      <w:r w:rsidR="00A1338D">
        <w:rPr>
          <w:rFonts w:asciiTheme="majorHAnsi" w:hAnsiTheme="majorHAnsi"/>
          <w:sz w:val="18"/>
          <w:szCs w:val="18"/>
        </w:rPr>
        <w:t>85,42</w:t>
      </w:r>
      <w:r w:rsidR="009F4C6B">
        <w:rPr>
          <w:rFonts w:asciiTheme="majorHAnsi" w:hAnsiTheme="majorHAnsi"/>
          <w:sz w:val="18"/>
          <w:szCs w:val="18"/>
        </w:rPr>
        <w:t>% de marchandises ayant une unité normalisé</w:t>
      </w:r>
      <w:r w:rsidR="00E62E2A">
        <w:rPr>
          <w:rFonts w:asciiTheme="majorHAnsi" w:hAnsiTheme="majorHAnsi"/>
          <w:sz w:val="18"/>
          <w:szCs w:val="18"/>
        </w:rPr>
        <w:t xml:space="preserve"> qui sont également ajustées). Le pourcentage d</w:t>
      </w:r>
      <w:r w:rsidR="009F4C6B">
        <w:rPr>
          <w:rFonts w:asciiTheme="majorHAnsi" w:hAnsiTheme="majorHAnsi"/>
          <w:sz w:val="18"/>
          <w:szCs w:val="18"/>
        </w:rPr>
        <w:t>e marchandises ayant une unité ajustée</w:t>
      </w:r>
      <w:r w:rsidR="00E62E2A">
        <w:rPr>
          <w:rFonts w:asciiTheme="majorHAnsi" w:hAnsiTheme="majorHAnsi"/>
          <w:sz w:val="18"/>
          <w:szCs w:val="18"/>
        </w:rPr>
        <w:t xml:space="preserve"> dans l’ensemble de la base atteint </w:t>
      </w:r>
      <w:r w:rsidR="00A1338D">
        <w:rPr>
          <w:rFonts w:asciiTheme="majorHAnsi" w:hAnsiTheme="majorHAnsi"/>
          <w:sz w:val="18"/>
          <w:szCs w:val="18"/>
        </w:rPr>
        <w:t>45,12</w:t>
      </w:r>
      <w:r w:rsidR="00E62E2A">
        <w:rPr>
          <w:rFonts w:asciiTheme="majorHAnsi" w:hAnsiTheme="majorHAnsi"/>
          <w:sz w:val="18"/>
          <w:szCs w:val="18"/>
        </w:rPr>
        <w:t>%.</w:t>
      </w:r>
    </w:p>
    <w:p w14:paraId="07862C2C" w14:textId="77777777" w:rsidR="002125E1" w:rsidRDefault="002125E1" w:rsidP="002125E1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Les unités </w:t>
      </w:r>
      <w:r w:rsidR="00E62E2A">
        <w:rPr>
          <w:rFonts w:asciiTheme="majorHAnsi" w:hAnsiTheme="majorHAnsi"/>
          <w:sz w:val="18"/>
          <w:szCs w:val="18"/>
        </w:rPr>
        <w:t xml:space="preserve">ajustées </w:t>
      </w:r>
      <w:r>
        <w:rPr>
          <w:rFonts w:asciiTheme="majorHAnsi" w:hAnsiTheme="majorHAnsi"/>
          <w:sz w:val="18"/>
          <w:szCs w:val="18"/>
        </w:rPr>
        <w:t xml:space="preserve">les plus présentes dans la base sont </w:t>
      </w:r>
      <w:r w:rsidR="005C265E">
        <w:rPr>
          <w:rFonts w:asciiTheme="majorHAnsi" w:hAnsiTheme="majorHAnsi"/>
          <w:sz w:val="18"/>
          <w:szCs w:val="18"/>
        </w:rPr>
        <w:br/>
      </w:r>
      <w:r>
        <w:rPr>
          <w:rFonts w:asciiTheme="majorHAnsi" w:hAnsiTheme="majorHAnsi"/>
          <w:sz w:val="18"/>
          <w:szCs w:val="18"/>
        </w:rPr>
        <w:t xml:space="preserve">les suivantes : </w:t>
      </w:r>
    </w:p>
    <w:p w14:paraId="41593F4B" w14:textId="77777777" w:rsidR="002125E1" w:rsidRDefault="002125E1" w:rsidP="005621AE">
      <w:pPr>
        <w:jc w:val="center"/>
        <w:rPr>
          <w:rFonts w:asciiTheme="majorHAnsi" w:hAnsiTheme="majorHAnsi"/>
          <w:sz w:val="18"/>
          <w:szCs w:val="18"/>
        </w:rPr>
      </w:pPr>
    </w:p>
    <w:p w14:paraId="17DDF9A3" w14:textId="77777777" w:rsidR="005621AE" w:rsidRDefault="005621AE" w:rsidP="00104D3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14:paraId="39BEB071" w14:textId="77777777" w:rsidR="005C265E" w:rsidRDefault="005C265E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6383AACD" w14:textId="77777777" w:rsidR="005C265E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4D3C6CD0" w14:textId="77777777" w:rsidR="005C265E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22274872" w14:textId="77777777" w:rsidR="005C265E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581311EF" w14:textId="77777777" w:rsidR="005C265E" w:rsidRPr="00A80675" w:rsidRDefault="005C265E" w:rsidP="005C265E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4</w:t>
      </w:r>
      <w:r w:rsidRPr="00104D36">
        <w:rPr>
          <w:rFonts w:asciiTheme="majorHAnsi" w:hAnsiTheme="majorHAnsi"/>
          <w:color w:val="1F497D" w:themeColor="text2"/>
          <w:sz w:val="22"/>
          <w:szCs w:val="22"/>
          <w:u w:val="single"/>
          <w:vertAlign w:val="superscript"/>
        </w:rPr>
        <w:t>e</w:t>
      </w: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 partie : unités conventionnelles</w:t>
      </w:r>
    </w:p>
    <w:p w14:paraId="6EA3D377" w14:textId="77777777" w:rsidR="005C265E" w:rsidRDefault="005C265E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1DF46DAD" w14:textId="77777777" w:rsidR="005C265E" w:rsidRDefault="005C265E" w:rsidP="00104D36">
      <w:pPr>
        <w:jc w:val="center"/>
        <w:rPr>
          <w:rFonts w:asciiTheme="majorHAnsi" w:hAnsiTheme="majorHAnsi"/>
          <w:sz w:val="18"/>
          <w:szCs w:val="18"/>
        </w:rPr>
      </w:pPr>
    </w:p>
    <w:p w14:paraId="452039A0" w14:textId="77777777" w:rsidR="005C265E" w:rsidRDefault="005C265E">
      <w:pPr>
        <w:sectPr w:rsidR="005C265E" w:rsidSect="005C265E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004F7650" w14:textId="7B215E90" w:rsidR="005C265E" w:rsidRDefault="00A1338D" w:rsidP="005C265E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18C43C4B" wp14:editId="76A276CC">
            <wp:simplePos x="0" y="0"/>
            <wp:positionH relativeFrom="column">
              <wp:posOffset>65405</wp:posOffset>
            </wp:positionH>
            <wp:positionV relativeFrom="paragraph">
              <wp:posOffset>4445</wp:posOffset>
            </wp:positionV>
            <wp:extent cx="2762250" cy="1890395"/>
            <wp:effectExtent l="0" t="0" r="6350" b="0"/>
            <wp:wrapSquare wrapText="bothSides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1C0">
        <w:rPr>
          <w:rFonts w:asciiTheme="majorHAnsi" w:hAnsiTheme="majorHAnsi"/>
          <w:sz w:val="18"/>
          <w:szCs w:val="18"/>
        </w:rPr>
        <w:t>Il y a dans la base 6</w:t>
      </w:r>
      <w:r w:rsidR="005C265E">
        <w:rPr>
          <w:rFonts w:asciiTheme="majorHAnsi" w:hAnsiTheme="majorHAnsi"/>
          <w:sz w:val="18"/>
          <w:szCs w:val="18"/>
        </w:rPr>
        <w:t xml:space="preserve"> unités conventionnelles, soit une réduction du nombre d’unités de </w:t>
      </w:r>
      <w:r w:rsidR="005D01C0">
        <w:rPr>
          <w:rFonts w:asciiTheme="majorHAnsi" w:hAnsiTheme="majorHAnsi"/>
          <w:sz w:val="18"/>
          <w:szCs w:val="18"/>
        </w:rPr>
        <w:t>96,65</w:t>
      </w:r>
      <w:r w:rsidR="009F4C6B">
        <w:rPr>
          <w:rFonts w:asciiTheme="majorHAnsi" w:hAnsiTheme="majorHAnsi"/>
          <w:sz w:val="18"/>
          <w:szCs w:val="18"/>
        </w:rPr>
        <w:t>% par rapport aux unité</w:t>
      </w:r>
      <w:r w:rsidR="005D01C0">
        <w:rPr>
          <w:rFonts w:asciiTheme="majorHAnsi" w:hAnsiTheme="majorHAnsi"/>
          <w:sz w:val="18"/>
          <w:szCs w:val="18"/>
        </w:rPr>
        <w:t>s ajustées, de 99,09</w:t>
      </w:r>
      <w:r w:rsidR="009F4C6B">
        <w:rPr>
          <w:rFonts w:asciiTheme="majorHAnsi" w:hAnsiTheme="majorHAnsi"/>
          <w:sz w:val="18"/>
          <w:szCs w:val="18"/>
        </w:rPr>
        <w:t xml:space="preserve">% par rapport aux unités normalisées orthographiquement et de </w:t>
      </w:r>
      <w:r w:rsidR="005D01C0">
        <w:rPr>
          <w:rFonts w:asciiTheme="majorHAnsi" w:hAnsiTheme="majorHAnsi"/>
          <w:sz w:val="18"/>
          <w:szCs w:val="18"/>
        </w:rPr>
        <w:t>99,62</w:t>
      </w:r>
      <w:r w:rsidR="005C265E">
        <w:rPr>
          <w:rFonts w:asciiTheme="majorHAnsi" w:hAnsiTheme="majorHAnsi"/>
          <w:sz w:val="18"/>
          <w:szCs w:val="18"/>
        </w:rPr>
        <w:t>% par rapport aux unités provenant des retranscriptions des sources.</w:t>
      </w:r>
    </w:p>
    <w:p w14:paraId="037A7D9C" w14:textId="252B1664" w:rsidR="005C265E" w:rsidRDefault="005C265E" w:rsidP="005C265E">
      <w:pPr>
        <w:jc w:val="right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Il y a </w:t>
      </w:r>
      <w:r w:rsidR="005D01C0">
        <w:rPr>
          <w:rFonts w:asciiTheme="majorHAnsi" w:hAnsiTheme="majorHAnsi"/>
          <w:sz w:val="18"/>
          <w:szCs w:val="18"/>
        </w:rPr>
        <w:t>199 266</w:t>
      </w:r>
      <w:r>
        <w:rPr>
          <w:rFonts w:asciiTheme="majorHAnsi" w:hAnsiTheme="majorHAnsi"/>
          <w:sz w:val="18"/>
          <w:szCs w:val="18"/>
        </w:rPr>
        <w:t xml:space="preserve"> marchandises pour lesquelles les unités normalisées orthographiquement ne sont pas renseignées sur les 440 142 de la base, c’est-à-dire que </w:t>
      </w:r>
      <w:r w:rsidR="005D01C0">
        <w:rPr>
          <w:rFonts w:asciiTheme="majorHAnsi" w:hAnsiTheme="majorHAnsi"/>
          <w:sz w:val="18"/>
          <w:szCs w:val="18"/>
        </w:rPr>
        <w:t>695</w:t>
      </w:r>
      <w:r>
        <w:rPr>
          <w:rFonts w:asciiTheme="majorHAnsi" w:hAnsiTheme="majorHAnsi"/>
          <w:sz w:val="18"/>
          <w:szCs w:val="18"/>
        </w:rPr>
        <w:t xml:space="preserve"> marchandises ayant une unité ajustée n’ont pas d’unités conventionnelle (soit </w:t>
      </w:r>
      <w:r w:rsidR="005D01C0">
        <w:rPr>
          <w:rFonts w:asciiTheme="majorHAnsi" w:hAnsiTheme="majorHAnsi"/>
          <w:sz w:val="18"/>
          <w:szCs w:val="18"/>
        </w:rPr>
        <w:t>99,71</w:t>
      </w:r>
      <w:r w:rsidR="009F4C6B">
        <w:rPr>
          <w:rFonts w:asciiTheme="majorHAnsi" w:hAnsiTheme="majorHAnsi"/>
          <w:sz w:val="18"/>
          <w:szCs w:val="18"/>
        </w:rPr>
        <w:t>% de marchandises ayant une unité ajustée qui ont également une unité conventionnelle). Le pourcentage de marchandises n’ayant pas d’unité</w:t>
      </w:r>
      <w:r>
        <w:rPr>
          <w:rFonts w:asciiTheme="majorHAnsi" w:hAnsiTheme="majorHAnsi"/>
          <w:sz w:val="18"/>
          <w:szCs w:val="18"/>
        </w:rPr>
        <w:t xml:space="preserve"> </w:t>
      </w:r>
      <w:r w:rsidR="009F4C6B">
        <w:rPr>
          <w:rFonts w:asciiTheme="majorHAnsi" w:hAnsiTheme="majorHAnsi"/>
          <w:sz w:val="18"/>
          <w:szCs w:val="18"/>
        </w:rPr>
        <w:t xml:space="preserve">conventionnelle atteint alors </w:t>
      </w:r>
      <w:r w:rsidR="005D01C0">
        <w:rPr>
          <w:rFonts w:asciiTheme="majorHAnsi" w:hAnsiTheme="majorHAnsi"/>
          <w:sz w:val="18"/>
          <w:szCs w:val="18"/>
        </w:rPr>
        <w:t>45,27</w:t>
      </w:r>
      <w:r>
        <w:rPr>
          <w:rFonts w:asciiTheme="majorHAnsi" w:hAnsiTheme="majorHAnsi"/>
          <w:sz w:val="18"/>
          <w:szCs w:val="18"/>
        </w:rPr>
        <w:t>%.</w:t>
      </w:r>
    </w:p>
    <w:p w14:paraId="0D31730A" w14:textId="77777777" w:rsidR="000D598C" w:rsidRDefault="005C265E" w:rsidP="009F4C6B">
      <w:pPr>
        <w:jc w:val="right"/>
      </w:pPr>
      <w:r>
        <w:rPr>
          <w:rFonts w:asciiTheme="majorHAnsi" w:hAnsiTheme="majorHAnsi"/>
          <w:sz w:val="18"/>
          <w:szCs w:val="18"/>
        </w:rPr>
        <w:t xml:space="preserve">Les unités </w:t>
      </w:r>
      <w:r w:rsidR="009F4C6B">
        <w:rPr>
          <w:rFonts w:asciiTheme="majorHAnsi" w:hAnsiTheme="majorHAnsi"/>
          <w:sz w:val="18"/>
          <w:szCs w:val="18"/>
        </w:rPr>
        <w:t>conventionnelles de la base</w:t>
      </w:r>
      <w:r>
        <w:rPr>
          <w:rFonts w:asciiTheme="majorHAnsi" w:hAnsiTheme="majorHAnsi"/>
          <w:sz w:val="18"/>
          <w:szCs w:val="18"/>
        </w:rPr>
        <w:t xml:space="preserve"> sont les suivantes :</w:t>
      </w:r>
      <w:r w:rsidR="009F4C6B" w:rsidRPr="009F4C6B">
        <w:t xml:space="preserve"> </w:t>
      </w:r>
    </w:p>
    <w:p w14:paraId="317C30A9" w14:textId="77777777" w:rsidR="00C51D6B" w:rsidRDefault="00C51D6B" w:rsidP="009F4C6B">
      <w:pPr>
        <w:pBdr>
          <w:bottom w:val="single" w:sz="12" w:space="1" w:color="auto"/>
        </w:pBdr>
        <w:jc w:val="right"/>
      </w:pPr>
    </w:p>
    <w:p w14:paraId="298AFDE6" w14:textId="77777777" w:rsidR="00695FA4" w:rsidRDefault="00695FA4" w:rsidP="009F4C6B">
      <w:pPr>
        <w:jc w:val="right"/>
      </w:pPr>
    </w:p>
    <w:p w14:paraId="4E4D6C5D" w14:textId="361F58E6" w:rsidR="00FD24F6" w:rsidRDefault="00CC23C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Unités conventionnelles</w:t>
      </w:r>
      <w:r w:rsidR="00FD24F6"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 en fonction des différent</w:t>
      </w:r>
      <w:r w:rsidR="000A5187">
        <w:rPr>
          <w:rFonts w:asciiTheme="majorHAnsi" w:hAnsiTheme="majorHAnsi"/>
          <w:color w:val="1F497D" w:themeColor="text2"/>
          <w:sz w:val="22"/>
          <w:szCs w:val="22"/>
          <w:u w:val="single"/>
        </w:rPr>
        <w:t>e</w:t>
      </w:r>
      <w:r w:rsidR="00FD24F6"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s </w:t>
      </w:r>
      <w:r w:rsidR="000A5187">
        <w:rPr>
          <w:rFonts w:asciiTheme="majorHAnsi" w:hAnsiTheme="majorHAnsi"/>
          <w:color w:val="1F497D" w:themeColor="text2"/>
          <w:sz w:val="22"/>
          <w:szCs w:val="22"/>
          <w:u w:val="single"/>
        </w:rPr>
        <w:t>directions</w:t>
      </w:r>
    </w:p>
    <w:p w14:paraId="0B42FEA9" w14:textId="77777777" w:rsidR="00FD24F6" w:rsidRDefault="00FD24F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19D60C75" w14:textId="77777777" w:rsidR="000A5187" w:rsidRDefault="000A5187" w:rsidP="00FD24F6">
      <w:pPr>
        <w:jc w:val="center"/>
        <w:rPr>
          <w:rFonts w:asciiTheme="majorHAnsi" w:hAnsiTheme="majorHAnsi"/>
          <w:sz w:val="18"/>
          <w:szCs w:val="18"/>
        </w:rPr>
      </w:pPr>
    </w:p>
    <w:p w14:paraId="7D866F36" w14:textId="49AA7319" w:rsidR="00CC23C6" w:rsidRDefault="00CC23C6" w:rsidP="00FD24F6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Il y a dans la base 51 directions enregistrant les entrées et sorties de marchandises, mais on décide d’observer ici les unités conventionnelles </w:t>
      </w:r>
      <w:r w:rsidR="000A5187">
        <w:rPr>
          <w:rFonts w:asciiTheme="majorHAnsi" w:hAnsiTheme="majorHAnsi"/>
          <w:sz w:val="18"/>
          <w:szCs w:val="18"/>
        </w:rPr>
        <w:t>en fonction des</w:t>
      </w:r>
      <w:r>
        <w:rPr>
          <w:rFonts w:asciiTheme="majorHAnsi" w:hAnsiTheme="majorHAnsi"/>
          <w:sz w:val="18"/>
          <w:szCs w:val="18"/>
        </w:rPr>
        <w:t xml:space="preserve"> directions apparaissant au moins 1000 fois dans la base. </w:t>
      </w:r>
    </w:p>
    <w:p w14:paraId="43A8AAF0" w14:textId="77777777" w:rsidR="000A5187" w:rsidRDefault="000A5187" w:rsidP="00FD24F6">
      <w:pPr>
        <w:jc w:val="center"/>
        <w:rPr>
          <w:rFonts w:asciiTheme="majorHAnsi" w:hAnsiTheme="majorHAnsi"/>
          <w:sz w:val="18"/>
          <w:szCs w:val="18"/>
        </w:rPr>
      </w:pPr>
    </w:p>
    <w:p w14:paraId="2F953082" w14:textId="77777777" w:rsidR="00CC23C6" w:rsidRDefault="00CC23C6" w:rsidP="00FD24F6">
      <w:pPr>
        <w:jc w:val="center"/>
        <w:rPr>
          <w:rFonts w:asciiTheme="majorHAnsi" w:hAnsiTheme="majorHAnsi"/>
          <w:sz w:val="18"/>
          <w:szCs w:val="18"/>
        </w:rPr>
      </w:pPr>
    </w:p>
    <w:p w14:paraId="243048D3" w14:textId="296555B1" w:rsidR="00FD24F6" w:rsidRDefault="00CC23C6" w:rsidP="00FD24F6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7059FA18" wp14:editId="5A580360">
            <wp:extent cx="5756910" cy="3357873"/>
            <wp:effectExtent l="0" t="0" r="8890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5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FB54" w14:textId="77777777" w:rsidR="00CC23C6" w:rsidRDefault="00CC23C6" w:rsidP="00FD24F6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14:paraId="0972B077" w14:textId="77777777" w:rsidR="00CC23C6" w:rsidRDefault="00CC23C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38B28923" w14:textId="77777777" w:rsidR="000A5187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3443D649" w14:textId="77777777" w:rsidR="000A5187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29808ECE" w14:textId="77777777" w:rsidR="000A5187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43F337F9" w14:textId="77777777" w:rsidR="000A5187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64B71BB4" w14:textId="77777777" w:rsidR="000A5187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5FAEB6D5" w14:textId="77777777" w:rsidR="000A5187" w:rsidRDefault="000A5187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2AD3D4F3" w14:textId="18AA759B" w:rsidR="00CC23C6" w:rsidRDefault="00CC23C6" w:rsidP="00CC23C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Unités conventionnelles en fonction des différentes marchandises (catégories SITC18)</w:t>
      </w:r>
    </w:p>
    <w:p w14:paraId="7888FF3C" w14:textId="77777777" w:rsidR="00CC23C6" w:rsidRDefault="00CC23C6" w:rsidP="00CC23C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4CA8FF8A" w14:textId="77777777" w:rsidR="000A5187" w:rsidRDefault="000A5187" w:rsidP="00CC23C6">
      <w:pPr>
        <w:jc w:val="center"/>
        <w:rPr>
          <w:rFonts w:asciiTheme="majorHAnsi" w:hAnsiTheme="majorHAnsi"/>
          <w:sz w:val="18"/>
          <w:szCs w:val="18"/>
        </w:rPr>
      </w:pPr>
    </w:p>
    <w:p w14:paraId="4DB9A566" w14:textId="0146BBBF" w:rsidR="00CC23C6" w:rsidRDefault="00CC23C6" w:rsidP="00CC23C6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Il y a dans la base </w:t>
      </w:r>
      <w:r w:rsidR="000A5187">
        <w:rPr>
          <w:rFonts w:asciiTheme="majorHAnsi" w:hAnsiTheme="majorHAnsi"/>
          <w:sz w:val="18"/>
          <w:szCs w:val="18"/>
        </w:rPr>
        <w:t>24 catégories SITC18</w:t>
      </w:r>
      <w:r>
        <w:rPr>
          <w:rFonts w:asciiTheme="majorHAnsi" w:hAnsiTheme="majorHAnsi"/>
          <w:sz w:val="18"/>
          <w:szCs w:val="18"/>
        </w:rPr>
        <w:t xml:space="preserve">, </w:t>
      </w:r>
      <w:r w:rsidR="000A5187">
        <w:rPr>
          <w:rFonts w:asciiTheme="majorHAnsi" w:hAnsiTheme="majorHAnsi"/>
          <w:sz w:val="18"/>
          <w:szCs w:val="18"/>
        </w:rPr>
        <w:t>on observe ici les unités conventionnelles en fonction de ces diverses catégories</w:t>
      </w:r>
      <w:r>
        <w:rPr>
          <w:rFonts w:asciiTheme="majorHAnsi" w:hAnsiTheme="majorHAnsi"/>
          <w:sz w:val="18"/>
          <w:szCs w:val="18"/>
        </w:rPr>
        <w:t xml:space="preserve">. </w:t>
      </w:r>
    </w:p>
    <w:p w14:paraId="0A603C22" w14:textId="77777777" w:rsidR="000A5187" w:rsidRDefault="000A5187" w:rsidP="00CC23C6">
      <w:pPr>
        <w:jc w:val="center"/>
        <w:rPr>
          <w:rFonts w:asciiTheme="majorHAnsi" w:hAnsiTheme="majorHAnsi"/>
          <w:sz w:val="18"/>
          <w:szCs w:val="18"/>
        </w:rPr>
      </w:pPr>
    </w:p>
    <w:p w14:paraId="7EF8097B" w14:textId="77777777" w:rsidR="000A5187" w:rsidRDefault="000A5187" w:rsidP="00CC23C6">
      <w:pPr>
        <w:jc w:val="center"/>
        <w:rPr>
          <w:rFonts w:asciiTheme="majorHAnsi" w:hAnsiTheme="majorHAnsi"/>
          <w:sz w:val="18"/>
          <w:szCs w:val="18"/>
        </w:rPr>
      </w:pPr>
    </w:p>
    <w:p w14:paraId="0C90BE28" w14:textId="1C365FA7" w:rsidR="000A5187" w:rsidRDefault="000A5187" w:rsidP="00CC23C6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4D7A02D0" wp14:editId="238AAB30">
            <wp:extent cx="5756910" cy="4043684"/>
            <wp:effectExtent l="0" t="0" r="8890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4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67B6" w14:textId="77777777" w:rsidR="00CC23C6" w:rsidRDefault="00CC23C6" w:rsidP="00CC23C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637A144A" w14:textId="77777777" w:rsidR="00CC23C6" w:rsidRPr="00A80675" w:rsidRDefault="00CC23C6" w:rsidP="00FD24F6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7D141F31" w14:textId="77777777" w:rsidR="00695FA4" w:rsidRDefault="00695FA4" w:rsidP="009F4C6B">
      <w:pPr>
        <w:jc w:val="right"/>
      </w:pPr>
      <w:bookmarkStart w:id="0" w:name="_GoBack"/>
      <w:bookmarkEnd w:id="0"/>
    </w:p>
    <w:p w14:paraId="78D6A388" w14:textId="77777777" w:rsidR="00C51D6B" w:rsidRDefault="00C51D6B" w:rsidP="009F4C6B">
      <w:pPr>
        <w:jc w:val="right"/>
      </w:pPr>
    </w:p>
    <w:p w14:paraId="5D4C8F64" w14:textId="59FC2026" w:rsidR="00C51D6B" w:rsidRDefault="00C51D6B" w:rsidP="009F4C6B">
      <w:pPr>
        <w:jc w:val="right"/>
      </w:pPr>
    </w:p>
    <w:sectPr w:rsidR="00C51D6B" w:rsidSect="005C265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36"/>
    <w:rsid w:val="000A5187"/>
    <w:rsid w:val="000D598C"/>
    <w:rsid w:val="00104D36"/>
    <w:rsid w:val="002125E1"/>
    <w:rsid w:val="005621AE"/>
    <w:rsid w:val="005C265E"/>
    <w:rsid w:val="005D01C0"/>
    <w:rsid w:val="00610880"/>
    <w:rsid w:val="00695FA4"/>
    <w:rsid w:val="006C33AF"/>
    <w:rsid w:val="007C6626"/>
    <w:rsid w:val="00941909"/>
    <w:rsid w:val="009F4C6B"/>
    <w:rsid w:val="00A1338D"/>
    <w:rsid w:val="00A417F9"/>
    <w:rsid w:val="00C51D6B"/>
    <w:rsid w:val="00CC23C6"/>
    <w:rsid w:val="00E62E2A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E5C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D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D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D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4D3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4D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BC48B-CB88-0A47-99D2-95AC9393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492</Words>
  <Characters>2712</Characters>
  <Application>Microsoft Macintosh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4</cp:revision>
  <dcterms:created xsi:type="dcterms:W3CDTF">2016-12-11T20:26:00Z</dcterms:created>
  <dcterms:modified xsi:type="dcterms:W3CDTF">2016-12-12T13:29:00Z</dcterms:modified>
</cp:coreProperties>
</file>