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6B9B619B" w:rsidR="003D4482" w:rsidRDefault="003D4482" w:rsidP="003D4482">
      <w:pPr>
        <w:rPr>
          <w:rFonts w:ascii="Avenir Book" w:hAnsi="Avenir Book"/>
          <w:lang w:val="en-US"/>
        </w:rPr>
      </w:pPr>
      <w:r>
        <w:rPr>
          <w:rFonts w:ascii="Avenir Book" w:hAnsi="Avenir Book"/>
          <w:lang w:val="en-US"/>
        </w:rPr>
        <w:t>• [HYPOTHESE] Aluchiabanis</w:t>
      </w:r>
      <w:r w:rsidR="00CB53F3">
        <w:rPr>
          <w:rFonts w:ascii="Avenir Book" w:hAnsi="Avenir Book"/>
          <w:lang w:val="en-US"/>
        </w:rPr>
        <w:t>, antchibanis</w:t>
      </w:r>
      <w:r>
        <w:rPr>
          <w:rFonts w:ascii="Avenir Book" w:hAnsi="Avenir Book"/>
          <w:lang w:val="en-US"/>
        </w:rPr>
        <w:t>: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66B39F47" w:rsidR="003D4482" w:rsidRDefault="003D4482" w:rsidP="003D4482">
      <w:pPr>
        <w:rPr>
          <w:rFonts w:ascii="Avenir Book" w:hAnsi="Avenir Book"/>
          <w:color w:val="000000"/>
        </w:rPr>
      </w:pPr>
      <w:r>
        <w:rPr>
          <w:rFonts w:ascii="Avenir Book" w:hAnsi="Avenir Book"/>
          <w:lang w:val="en-US"/>
        </w:rPr>
        <w:t xml:space="preserve">• Alegias, </w:t>
      </w:r>
      <w:r w:rsidR="00864467">
        <w:rPr>
          <w:rFonts w:ascii="Avenir Book" w:hAnsi="Avenir Book"/>
          <w:lang w:val="en-US"/>
        </w:rPr>
        <w:t xml:space="preserve">allegias, </w:t>
      </w:r>
      <w:r>
        <w:rPr>
          <w:rFonts w:ascii="Avenir Book" w:hAnsi="Avenir Book"/>
          <w:lang w:val="en-US"/>
        </w:rPr>
        <w:t xml:space="preserve">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4D554306" w14:textId="602BABAF" w:rsidR="00D27227" w:rsidRPr="00CF3F06" w:rsidRDefault="00D27227" w:rsidP="003D4482">
      <w:pPr>
        <w:rPr>
          <w:rFonts w:ascii="Avenir Book" w:hAnsi="Avenir Book"/>
          <w:color w:val="000000"/>
        </w:rPr>
      </w:pPr>
      <w:r>
        <w:rPr>
          <w:rFonts w:ascii="Avenir Book" w:hAnsi="Avenir Book"/>
          <w:color w:val="000000"/>
        </w:rPr>
        <w:t>• Cotomine: Cotoninne, "</w:t>
      </w:r>
      <w:r w:rsidRPr="00D27227">
        <w:rPr>
          <w:rFonts w:ascii="Avenir Book" w:hAnsi="Avenir Book"/>
          <w:color w:val="000000"/>
        </w:rPr>
        <w:t>grosse toile à chaîne de coton &amp; trame de chanvre</w:t>
      </w:r>
      <w:r w:rsidR="000E6469" w:rsidRPr="000E6469">
        <w:rPr>
          <w:rFonts w:eastAsia="Times New Roman"/>
          <w:lang w:eastAsia="en-US"/>
        </w:rPr>
        <w:t xml:space="preserve"> </w:t>
      </w:r>
      <w:r w:rsidR="000E6469" w:rsidRPr="000E6469">
        <w:rPr>
          <w:rFonts w:ascii="Avenir Book" w:hAnsi="Avenir Book"/>
          <w:color w:val="000000"/>
        </w:rPr>
        <w:t>, dont on se sert pour les voiles des galeres</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xml:space="preserve">, article </w:t>
      </w:r>
      <w:r w:rsidR="000E6469">
        <w:rPr>
          <w:rFonts w:ascii="Avenir Book" w:hAnsi="Avenir Book"/>
          <w:color w:val="000000"/>
        </w:rPr>
        <w:t>"Cotonnine".</w:t>
      </w:r>
      <w:bookmarkStart w:id="1" w:name="_GoBack"/>
      <w:bookmarkEnd w:id="1"/>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La Haye, 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joyet</w:t>
      </w:r>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49262C85" w:rsidR="003D4482" w:rsidRDefault="003D4482" w:rsidP="003D4482">
      <w:pPr>
        <w:rPr>
          <w:rFonts w:ascii="Avenir Book" w:hAnsi="Avenir Book"/>
        </w:rPr>
      </w:pPr>
      <w:r>
        <w:rPr>
          <w:rFonts w:ascii="Avenir Book" w:hAnsi="Avenir Book"/>
        </w:rPr>
        <w:t>• Licanias</w:t>
      </w:r>
      <w:r w:rsidR="005C128D">
        <w:rPr>
          <w:rFonts w:ascii="Avenir Book" w:hAnsi="Avenir Book"/>
        </w:rPr>
        <w:t>,</w:t>
      </w:r>
      <w:r>
        <w:rPr>
          <w:rFonts w:ascii="Avenir Book" w:hAnsi="Avenir Book"/>
        </w:rPr>
        <w:t xml:space="preserve">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3191DF6C" w14:textId="02C7D3A9" w:rsidR="005A31F1" w:rsidRPr="005A31F1" w:rsidRDefault="005A31F1" w:rsidP="003D4482">
      <w:pPr>
        <w:rPr>
          <w:rFonts w:ascii="Avenir Book" w:hAnsi="Avenir Book"/>
        </w:rPr>
      </w:pPr>
      <w:r>
        <w:rPr>
          <w:rFonts w:ascii="Avenir Book" w:hAnsi="Avenir Book"/>
        </w:rPr>
        <w:t xml:space="preserve">• Rasade : "petite étoffe" OU "espèce de verroterie" plus souvent appelée "Rassade", cf. Savary, </w:t>
      </w:r>
      <w:r w:rsidRPr="005A31F1">
        <w:rPr>
          <w:rFonts w:ascii="Avenir Book" w:hAnsi="Avenir Book"/>
          <w:i/>
        </w:rPr>
        <w:t>Dictionnaire</w:t>
      </w:r>
      <w:r>
        <w:rPr>
          <w:rFonts w:ascii="Avenir Book" w:hAnsi="Avenir Book"/>
        </w:rPr>
        <w:t xml:space="preserve"> vol. 3, articles "Rasade" et "Rassade". "Rasade" modifié en "Rassade"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r w:rsidR="000F3DE1">
        <w:rPr>
          <w:rFonts w:ascii="Avenir Book" w:hAnsi="Avenir Book"/>
          <w:lang w:val="en-US"/>
        </w:rPr>
        <w:t xml:space="preserve">Semacouba,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469"/>
    <w:rsid w:val="000E6856"/>
    <w:rsid w:val="000E7319"/>
    <w:rsid w:val="000F0AA0"/>
    <w:rsid w:val="000F3DE1"/>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4D04"/>
    <w:rsid w:val="0056569D"/>
    <w:rsid w:val="00567C30"/>
    <w:rsid w:val="00574F4D"/>
    <w:rsid w:val="005759C2"/>
    <w:rsid w:val="00576CD5"/>
    <w:rsid w:val="00580040"/>
    <w:rsid w:val="00587D87"/>
    <w:rsid w:val="00593969"/>
    <w:rsid w:val="00595348"/>
    <w:rsid w:val="005A0085"/>
    <w:rsid w:val="005A31F1"/>
    <w:rsid w:val="005A58E4"/>
    <w:rsid w:val="005C128D"/>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467"/>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3F3"/>
    <w:rsid w:val="00CB5B80"/>
    <w:rsid w:val="00CD1DDC"/>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27227"/>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B692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14</Pages>
  <Words>5573</Words>
  <Characters>31772</Characters>
  <Application>Microsoft Macintosh Word</Application>
  <DocSecurity>0</DocSecurity>
  <Lines>264</Lines>
  <Paragraphs>74</Paragraphs>
  <ScaleCrop>false</ScaleCrop>
  <Company/>
  <LinksUpToDate>false</LinksUpToDate>
  <CharactersWithSpaces>37271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321</cp:revision>
  <dcterms:created xsi:type="dcterms:W3CDTF">2015-04-17T09:12:00Z</dcterms:created>
  <dcterms:modified xsi:type="dcterms:W3CDTF">2016-03-08T10:59:00Z</dcterms:modified>
</cp:coreProperties>
</file>