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 – Les effets spéciaux et fin de l'Académie</w:t>
      </w:r>
    </w:p>
    <w:p>
      <w:pPr>
        <w:pStyle w:val="Heading2"/>
      </w:pPr>
      <w:r>
        <w:t>Objectif</w:t>
      </w:r>
    </w:p>
    <w:p>
      <w:r>
        <w:rPr>
          <w:sz w:val="22"/>
        </w:rPr>
        <w:t>Présenter les principales familles d'effets avancés de Tennis Courts Academy.</w:t>
        <w:br/>
        <w:br/>
        <w:t>À la fin de ce module, le joueur doit comprendre que certaines cartes modifient directement le déroulement d'un échange.</w:t>
        <w:br/>
        <w:br/>
        <w:t>L'objectif n'est pas de mémoriser chaque carte mais de comprendre les différentes catégories d'effets afin de savoir les identifier pendant une partie.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Toutes les situations sont scénarisées.</w:t>
        <w:br/>
        <w:br/>
        <w:t>Chaque effet est illustré par un exemple simple utilisant les composants et les règles existantes du jeu.</w:t>
      </w:r>
    </w:p>
    <w:p>
      <w:pPr>
        <w:pStyle w:val="Heading2"/>
      </w:pPr>
      <w:r>
        <w:t>Déroulement</w:t>
      </w:r>
    </w:p>
    <w:p>
      <w:r>
        <w:rPr>
          <w:sz w:val="22"/>
        </w:rPr>
        <w:t>Le module est composé d'une succession de démonstrations courtes. Après chaque démonstration, Coach Ju résume la règle avant de passer à la suivante.</w:t>
      </w:r>
    </w:p>
    <w:p>
      <w:pPr>
        <w:pStyle w:val="Heading3"/>
      </w:pPr>
      <w:r>
        <w:t>Étape 1 – Suppression de carte</w:t>
      </w:r>
    </w:p>
    <w:p>
      <w:r>
        <w:rPr>
          <w:sz w:val="22"/>
        </w:rPr>
        <w:t>Dialogue :</w:t>
      </w:r>
    </w:p>
    <w:p>
      <w:r>
        <w:rPr>
          <w:sz w:val="22"/>
        </w:rPr>
        <w:t>Certaines cartes permettent de supprimer une carte adverse. Lorsqu'une carte est supprimée, elle quitte immédiatement l'échange et tous les effets encore liés à cette carte disparaissent.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2 – Annulation d'effet</w:t>
      </w:r>
    </w:p>
    <w:p>
      <w:r>
        <w:rPr>
          <w:sz w:val="22"/>
        </w:rPr>
        <w:t>Dialogue :</w:t>
      </w:r>
    </w:p>
    <w:p>
      <w:r>
        <w:rPr>
          <w:sz w:val="22"/>
        </w:rPr>
        <w:t>Certaines cartes annulent le prochain effet joué par l'adversaire. La carte est bien jouée, son coût, sa puissance, sa précision et son placement sont pris en compte ; seul son effet est annulé.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3 – Duplication d'effet</w:t>
      </w:r>
    </w:p>
    <w:p>
      <w:r>
        <w:rPr>
          <w:sz w:val="22"/>
        </w:rPr>
        <w:t>Dialogue :</w:t>
      </w:r>
    </w:p>
    <w:p>
      <w:r>
        <w:rPr>
          <w:sz w:val="22"/>
        </w:rPr>
        <w:t>Quelques cartes permettent de reproduire ou rejouer un effet déjà déclenché. Le scénario montre un exemple afin que le joueur comprenne le principe général.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4 – Bonus de fin d'échange</w:t>
      </w:r>
    </w:p>
    <w:p>
      <w:r>
        <w:rPr>
          <w:sz w:val="22"/>
        </w:rPr>
        <w:t>Dialogue :</w:t>
      </w:r>
    </w:p>
    <w:p>
      <w:r>
        <w:rPr>
          <w:sz w:val="22"/>
        </w:rPr>
        <w:t>Certaines cartes ne produisent leur effet qu'au moment où l'échange se termine. Le tutoriel montre le calcul de ce bonus.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5 – Smash</w:t>
      </w:r>
    </w:p>
    <w:p>
      <w:r>
        <w:rPr>
          <w:sz w:val="22"/>
        </w:rPr>
        <w:t>Dialogue :</w:t>
      </w:r>
    </w:p>
    <w:p>
      <w:r>
        <w:rPr>
          <w:sz w:val="22"/>
        </w:rPr>
        <w:t>Présentation d'un exemple d'utilisation du Smash et de son contexte d'utilisation.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6 – Double</w:t>
      </w:r>
    </w:p>
    <w:p>
      <w:r>
        <w:rPr>
          <w:sz w:val="22"/>
        </w:rPr>
        <w:t>Dialogue :</w:t>
      </w:r>
    </w:p>
    <w:p>
      <w:r>
        <w:rPr>
          <w:sz w:val="22"/>
        </w:rPr>
        <w:t>Présentation d'un exemple d'utilisation des cartes Double dans un échange.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3"/>
      </w:pPr>
      <w:r>
        <w:t>Étape 7 – Retour de service</w:t>
      </w:r>
    </w:p>
    <w:p>
      <w:r>
        <w:rPr>
          <w:sz w:val="22"/>
        </w:rPr>
        <w:t>Dialogue :</w:t>
      </w:r>
    </w:p>
    <w:p>
      <w:r>
        <w:rPr>
          <w:sz w:val="22"/>
        </w:rPr>
        <w:t>Rappel de la règle : certaines cartes ne peuvent pas être jouées immédiatement après un service. Le tutoriel montre un exemple de retour de service.</w:t>
      </w:r>
    </w:p>
    <w:p>
      <w:r>
        <w:rPr>
          <w:sz w:val="22"/>
        </w:rPr>
        <w:t>Le scénario montre automatiquement un exemple concret. Le joueur valide ensuite en cliquant sur Suivant.</w:t>
      </w:r>
    </w:p>
    <w:p>
      <w:pPr>
        <w:pStyle w:val="Heading2"/>
      </w:pPr>
      <w:r>
        <w:t>Conclusion</w:t>
      </w:r>
    </w:p>
    <w:p>
      <w:r>
        <w:rPr>
          <w:sz w:val="22"/>
        </w:rPr>
        <w:t>Coach Ju :</w:t>
        <w:br/>
        <w:br/>
        <w:t>Félicitations !</w:t>
        <w:br/>
        <w:br/>
        <w:t>Tu connais désormais les mécaniques essentielles de Tennis Courts Academy.</w:t>
        <w:br/>
        <w:br/>
        <w:t>Tu es prêt à affronter l'intelligence artificielle, participer aux tournois et découvrir progressivement toute la richesse du jeu complet.</w:t>
        <w:br/>
        <w:br/>
        <w:t>Bonne chance sur les courts !</w:t>
      </w:r>
    </w:p>
    <w:p>
      <w:pPr>
        <w:pStyle w:val="Heading2"/>
      </w:pPr>
      <w:r>
        <w:t>Déverrouillage</w:t>
      </w:r>
    </w:p>
    <w:p>
      <w:r>
        <w:rPr>
          <w:sz w:val="22"/>
        </w:rPr>
        <w:t>À la fin du module :</w:t>
        <w:br/>
        <w:br/>
        <w:t>- Marquer l'Académie comme terminée.</w:t>
        <w:br/>
        <w:t>- Déverrouiller les matchs libres.</w:t>
        <w:br/>
        <w:t>- Déverrouiller les tournois.</w:t>
        <w:br/>
        <w:t>- Déverrouiller le circuit (si prévu par la progression du jeu).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Chaque famille d'effet est illustrée par un exemple.</w:t>
        <w:br/>
        <w:t>- Les composants existants du jeu sont réutilisés.</w:t>
        <w:br/>
        <w:t>- Aucun effet n'est réimplémenté dans le tutoriel : celui-ci utilise les règles du moteur existant.</w:t>
        <w:br/>
        <w:t>- Le joueur termine l'Académie sans possibilité d'échec.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