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F4606" w14:textId="13449258" w:rsidR="0091772F" w:rsidRPr="0064174E" w:rsidRDefault="000F7388" w:rsidP="0091772F">
      <w:r>
        <w:t>NPIs in Brazil</w:t>
      </w:r>
      <w:r w:rsidR="0091772F">
        <w:t xml:space="preserve"> dataset.  </w:t>
      </w:r>
      <w:r w:rsidR="0091772F" w:rsidRPr="0064174E">
        <w:t xml:space="preserve">Variable names used in the </w:t>
      </w:r>
      <w:r w:rsidR="0091772F">
        <w:t xml:space="preserve">statistical </w:t>
      </w:r>
      <w:r w:rsidR="0091772F" w:rsidRPr="0064174E">
        <w:t>analys</w:t>
      </w:r>
      <w:r w:rsidR="0091772F">
        <w:t>e</w:t>
      </w:r>
      <w:r w:rsidR="0091772F" w:rsidRPr="0064174E">
        <w:t>s</w:t>
      </w:r>
      <w:r w:rsidR="0091772F">
        <w:t xml:space="preserve"> of 12 Brazilian states.</w:t>
      </w:r>
    </w:p>
    <w:p w14:paraId="04EE2DDF" w14:textId="77777777" w:rsidR="0091772F" w:rsidRPr="00D34178" w:rsidRDefault="0091772F" w:rsidP="0091772F">
      <w:pPr>
        <w:spacing w:line="276" w:lineRule="auto"/>
        <w:rPr>
          <w:b/>
          <w:bCs/>
        </w:rPr>
      </w:pPr>
    </w:p>
    <w:p w14:paraId="1EFE8C05" w14:textId="77777777" w:rsidR="0091772F" w:rsidRPr="001877EF" w:rsidRDefault="0091772F" w:rsidP="0091772F">
      <w:pPr>
        <w:spacing w:line="276" w:lineRule="auto"/>
      </w:pPr>
    </w:p>
    <w:tbl>
      <w:tblPr>
        <w:tblStyle w:val="TableGrid"/>
        <w:tblW w:w="9427" w:type="dxa"/>
        <w:tblCellMar>
          <w:top w:w="29" w:type="dxa"/>
          <w:left w:w="86" w:type="dxa"/>
          <w:bottom w:w="29" w:type="dxa"/>
          <w:right w:w="86" w:type="dxa"/>
        </w:tblCellMar>
        <w:tblLook w:val="04A0" w:firstRow="1" w:lastRow="0" w:firstColumn="1" w:lastColumn="0" w:noHBand="0" w:noVBand="1"/>
      </w:tblPr>
      <w:tblGrid>
        <w:gridCol w:w="1597"/>
        <w:gridCol w:w="1940"/>
        <w:gridCol w:w="5890"/>
      </w:tblGrid>
      <w:tr w:rsidR="0091772F" w:rsidRPr="001877EF" w14:paraId="1AE9166D" w14:textId="77777777" w:rsidTr="008361A1">
        <w:tc>
          <w:tcPr>
            <w:tcW w:w="1597" w:type="dxa"/>
            <w:tcBorders>
              <w:top w:val="single" w:sz="18" w:space="0" w:color="auto"/>
              <w:left w:val="single" w:sz="18" w:space="0" w:color="auto"/>
              <w:bottom w:val="single" w:sz="18" w:space="0" w:color="auto"/>
            </w:tcBorders>
            <w:vAlign w:val="center"/>
          </w:tcPr>
          <w:p w14:paraId="264E694B" w14:textId="77777777" w:rsidR="0091772F" w:rsidRPr="001877EF" w:rsidRDefault="0091772F" w:rsidP="008361A1">
            <w:pPr>
              <w:spacing w:line="276" w:lineRule="auto"/>
              <w:jc w:val="center"/>
              <w:rPr>
                <w:rFonts w:cs="Times New Roman"/>
                <w:b/>
                <w:bCs/>
                <w:sz w:val="22"/>
              </w:rPr>
            </w:pPr>
            <w:r w:rsidRPr="001877EF">
              <w:rPr>
                <w:rFonts w:cs="Times New Roman"/>
                <w:b/>
                <w:bCs/>
                <w:sz w:val="22"/>
              </w:rPr>
              <w:t>Variable name</w:t>
            </w:r>
          </w:p>
        </w:tc>
        <w:tc>
          <w:tcPr>
            <w:tcW w:w="1940" w:type="dxa"/>
            <w:tcBorders>
              <w:top w:val="single" w:sz="18" w:space="0" w:color="auto"/>
              <w:bottom w:val="single" w:sz="18" w:space="0" w:color="auto"/>
            </w:tcBorders>
            <w:vAlign w:val="center"/>
          </w:tcPr>
          <w:p w14:paraId="292A350B" w14:textId="77777777" w:rsidR="0091772F" w:rsidRPr="001877EF" w:rsidRDefault="0091772F" w:rsidP="008361A1">
            <w:pPr>
              <w:spacing w:line="276" w:lineRule="auto"/>
              <w:jc w:val="center"/>
              <w:rPr>
                <w:rFonts w:cs="Times New Roman"/>
                <w:b/>
                <w:bCs/>
                <w:sz w:val="22"/>
              </w:rPr>
            </w:pPr>
            <w:r w:rsidRPr="001877EF">
              <w:rPr>
                <w:rFonts w:cs="Times New Roman"/>
                <w:b/>
                <w:bCs/>
                <w:sz w:val="22"/>
              </w:rPr>
              <w:t>Defined from</w:t>
            </w:r>
          </w:p>
        </w:tc>
        <w:tc>
          <w:tcPr>
            <w:tcW w:w="5890" w:type="dxa"/>
            <w:tcBorders>
              <w:top w:val="single" w:sz="18" w:space="0" w:color="auto"/>
              <w:bottom w:val="single" w:sz="18" w:space="0" w:color="auto"/>
              <w:right w:val="single" w:sz="18" w:space="0" w:color="auto"/>
            </w:tcBorders>
            <w:vAlign w:val="center"/>
          </w:tcPr>
          <w:p w14:paraId="5341B5D2" w14:textId="77777777" w:rsidR="0091772F" w:rsidRPr="001877EF" w:rsidRDefault="0091772F" w:rsidP="008361A1">
            <w:pPr>
              <w:spacing w:line="276" w:lineRule="auto"/>
              <w:jc w:val="center"/>
              <w:rPr>
                <w:rFonts w:cs="Times New Roman"/>
                <w:b/>
                <w:bCs/>
                <w:sz w:val="22"/>
              </w:rPr>
            </w:pPr>
            <w:r w:rsidRPr="001877EF">
              <w:rPr>
                <w:rFonts w:cs="Times New Roman"/>
                <w:b/>
                <w:bCs/>
                <w:sz w:val="22"/>
              </w:rPr>
              <w:t>Definition</w:t>
            </w:r>
          </w:p>
        </w:tc>
      </w:tr>
      <w:tr w:rsidR="0091772F" w:rsidRPr="001877EF" w14:paraId="68AD21F9" w14:textId="77777777" w:rsidTr="008361A1">
        <w:tc>
          <w:tcPr>
            <w:tcW w:w="9427" w:type="dxa"/>
            <w:gridSpan w:val="3"/>
            <w:tcBorders>
              <w:top w:val="single" w:sz="18" w:space="0" w:color="auto"/>
              <w:left w:val="single" w:sz="18" w:space="0" w:color="auto"/>
              <w:bottom w:val="single" w:sz="18" w:space="0" w:color="auto"/>
              <w:right w:val="single" w:sz="18" w:space="0" w:color="auto"/>
            </w:tcBorders>
            <w:vAlign w:val="center"/>
          </w:tcPr>
          <w:p w14:paraId="7B0E24F7" w14:textId="77777777" w:rsidR="0091772F" w:rsidRPr="001877EF" w:rsidRDefault="0091772F" w:rsidP="008361A1">
            <w:pPr>
              <w:spacing w:line="276" w:lineRule="auto"/>
              <w:jc w:val="center"/>
              <w:rPr>
                <w:rFonts w:cs="Times New Roman"/>
                <w:b/>
                <w:bCs/>
                <w:sz w:val="22"/>
              </w:rPr>
            </w:pPr>
            <w:r w:rsidRPr="001877EF">
              <w:rPr>
                <w:rFonts w:cs="Times New Roman"/>
                <w:b/>
                <w:bCs/>
                <w:sz w:val="22"/>
              </w:rPr>
              <w:t>Dependent Variables</w:t>
            </w:r>
          </w:p>
        </w:tc>
      </w:tr>
      <w:tr w:rsidR="0091772F" w:rsidRPr="001877EF" w14:paraId="13230D78" w14:textId="77777777" w:rsidTr="008361A1">
        <w:tc>
          <w:tcPr>
            <w:tcW w:w="1597" w:type="dxa"/>
            <w:tcBorders>
              <w:top w:val="single" w:sz="18" w:space="0" w:color="auto"/>
              <w:left w:val="single" w:sz="18" w:space="0" w:color="auto"/>
              <w:bottom w:val="single" w:sz="18" w:space="0" w:color="auto"/>
            </w:tcBorders>
            <w:vAlign w:val="center"/>
          </w:tcPr>
          <w:p w14:paraId="54FD2C3E" w14:textId="77777777" w:rsidR="0091772F" w:rsidRPr="001877EF" w:rsidRDefault="0091772F" w:rsidP="008361A1">
            <w:pPr>
              <w:spacing w:line="276" w:lineRule="auto"/>
              <w:rPr>
                <w:rFonts w:cs="Times New Roman"/>
                <w:sz w:val="22"/>
              </w:rPr>
            </w:pPr>
            <w:r w:rsidRPr="001877EF">
              <w:rPr>
                <w:rFonts w:cs="Times New Roman"/>
                <w:sz w:val="22"/>
              </w:rPr>
              <w:t>grr_cases7dlast</w:t>
            </w:r>
          </w:p>
        </w:tc>
        <w:tc>
          <w:tcPr>
            <w:tcW w:w="1940" w:type="dxa"/>
            <w:tcBorders>
              <w:top w:val="single" w:sz="18" w:space="0" w:color="auto"/>
              <w:bottom w:val="single" w:sz="18" w:space="0" w:color="auto"/>
            </w:tcBorders>
            <w:vAlign w:val="center"/>
          </w:tcPr>
          <w:p w14:paraId="0F9717C0" w14:textId="77777777" w:rsidR="0091772F" w:rsidRPr="001877EF" w:rsidRDefault="0091772F" w:rsidP="008361A1">
            <w:pPr>
              <w:spacing w:line="276" w:lineRule="auto"/>
              <w:rPr>
                <w:rFonts w:cs="Times New Roman"/>
                <w:sz w:val="22"/>
              </w:rPr>
            </w:pPr>
            <w:proofErr w:type="spellStart"/>
            <w:r w:rsidRPr="001877EF">
              <w:rPr>
                <w:rFonts w:cs="Times New Roman"/>
                <w:sz w:val="22"/>
              </w:rPr>
              <w:t>New_Cases</w:t>
            </w:r>
            <w:proofErr w:type="spellEnd"/>
          </w:p>
        </w:tc>
        <w:tc>
          <w:tcPr>
            <w:tcW w:w="5890" w:type="dxa"/>
            <w:tcBorders>
              <w:top w:val="single" w:sz="18" w:space="0" w:color="auto"/>
              <w:bottom w:val="single" w:sz="18" w:space="0" w:color="auto"/>
              <w:right w:val="single" w:sz="18" w:space="0" w:color="auto"/>
            </w:tcBorders>
            <w:vAlign w:val="center"/>
          </w:tcPr>
          <w:p w14:paraId="3276D055" w14:textId="77777777" w:rsidR="0091772F" w:rsidRPr="001877EF" w:rsidRDefault="0091772F" w:rsidP="008361A1">
            <w:pPr>
              <w:spacing w:line="276" w:lineRule="auto"/>
              <w:rPr>
                <w:rFonts w:cs="Times New Roman"/>
                <w:sz w:val="22"/>
              </w:rPr>
            </w:pPr>
            <w:r w:rsidRPr="001877EF">
              <w:rPr>
                <w:rFonts w:cs="Times New Roman"/>
                <w:sz w:val="20"/>
                <w:szCs w:val="20"/>
              </w:rPr>
              <w:t>The ratio of the 7-day average of new cases at day t divided by the 7-day average at day t-1.  For example, grr_cases7dlast for March 14 is the 7-day average ending March 14 divided by the 7-day average ending March 13.</w:t>
            </w:r>
          </w:p>
        </w:tc>
      </w:tr>
      <w:tr w:rsidR="0091772F" w:rsidRPr="001877EF" w14:paraId="1DDF6F91" w14:textId="77777777" w:rsidTr="008361A1">
        <w:tc>
          <w:tcPr>
            <w:tcW w:w="1597" w:type="dxa"/>
            <w:tcBorders>
              <w:top w:val="single" w:sz="18" w:space="0" w:color="auto"/>
              <w:left w:val="single" w:sz="18" w:space="0" w:color="auto"/>
              <w:bottom w:val="single" w:sz="18" w:space="0" w:color="auto"/>
            </w:tcBorders>
            <w:vAlign w:val="center"/>
          </w:tcPr>
          <w:p w14:paraId="42C87E19" w14:textId="77777777" w:rsidR="0091772F" w:rsidRPr="001877EF" w:rsidRDefault="0091772F" w:rsidP="008361A1">
            <w:pPr>
              <w:spacing w:line="276" w:lineRule="auto"/>
              <w:rPr>
                <w:rFonts w:cs="Times New Roman"/>
                <w:sz w:val="22"/>
              </w:rPr>
            </w:pPr>
            <w:r w:rsidRPr="001877EF">
              <w:rPr>
                <w:rFonts w:cs="Times New Roman"/>
                <w:sz w:val="22"/>
              </w:rPr>
              <w:t>grr_dth7dlast</w:t>
            </w:r>
          </w:p>
        </w:tc>
        <w:tc>
          <w:tcPr>
            <w:tcW w:w="1940" w:type="dxa"/>
            <w:tcBorders>
              <w:top w:val="single" w:sz="18" w:space="0" w:color="auto"/>
              <w:bottom w:val="single" w:sz="18" w:space="0" w:color="auto"/>
            </w:tcBorders>
            <w:vAlign w:val="center"/>
          </w:tcPr>
          <w:p w14:paraId="209A6631" w14:textId="77777777" w:rsidR="0091772F" w:rsidRPr="001877EF" w:rsidRDefault="0091772F" w:rsidP="008361A1">
            <w:pPr>
              <w:spacing w:line="276" w:lineRule="auto"/>
              <w:rPr>
                <w:rFonts w:cs="Times New Roman"/>
                <w:sz w:val="22"/>
              </w:rPr>
            </w:pPr>
            <w:proofErr w:type="spellStart"/>
            <w:r w:rsidRPr="001877EF">
              <w:rPr>
                <w:rFonts w:cs="Times New Roman"/>
                <w:sz w:val="22"/>
              </w:rPr>
              <w:t>New_Deaths</w:t>
            </w:r>
            <w:proofErr w:type="spellEnd"/>
          </w:p>
        </w:tc>
        <w:tc>
          <w:tcPr>
            <w:tcW w:w="5890" w:type="dxa"/>
            <w:tcBorders>
              <w:top w:val="single" w:sz="18" w:space="0" w:color="auto"/>
              <w:bottom w:val="single" w:sz="18" w:space="0" w:color="auto"/>
              <w:right w:val="single" w:sz="18" w:space="0" w:color="auto"/>
            </w:tcBorders>
            <w:vAlign w:val="center"/>
          </w:tcPr>
          <w:p w14:paraId="5E4F28DC" w14:textId="77777777" w:rsidR="0091772F" w:rsidRPr="001877EF" w:rsidRDefault="0091772F" w:rsidP="008361A1">
            <w:pPr>
              <w:spacing w:line="276" w:lineRule="auto"/>
              <w:rPr>
                <w:rFonts w:cs="Times New Roman"/>
                <w:sz w:val="20"/>
                <w:szCs w:val="20"/>
              </w:rPr>
            </w:pPr>
            <w:r w:rsidRPr="001877EF">
              <w:rPr>
                <w:rFonts w:cs="Times New Roman"/>
                <w:sz w:val="20"/>
                <w:szCs w:val="20"/>
              </w:rPr>
              <w:t xml:space="preserve">The ratio of the 7-day average of deaths at day t divided by the 7-day average at day t-1.  </w:t>
            </w:r>
          </w:p>
        </w:tc>
      </w:tr>
      <w:tr w:rsidR="0091772F" w:rsidRPr="001877EF" w14:paraId="50FE5C29" w14:textId="77777777" w:rsidTr="008361A1">
        <w:tc>
          <w:tcPr>
            <w:tcW w:w="9427" w:type="dxa"/>
            <w:gridSpan w:val="3"/>
            <w:tcBorders>
              <w:top w:val="single" w:sz="18" w:space="0" w:color="auto"/>
              <w:left w:val="single" w:sz="18" w:space="0" w:color="auto"/>
              <w:bottom w:val="single" w:sz="18" w:space="0" w:color="auto"/>
              <w:right w:val="single" w:sz="18" w:space="0" w:color="auto"/>
            </w:tcBorders>
            <w:vAlign w:val="center"/>
          </w:tcPr>
          <w:p w14:paraId="1FC7D9E1" w14:textId="77777777" w:rsidR="0091772F" w:rsidRPr="001877EF" w:rsidRDefault="0091772F" w:rsidP="008361A1">
            <w:pPr>
              <w:spacing w:line="276" w:lineRule="auto"/>
              <w:jc w:val="center"/>
              <w:rPr>
                <w:rFonts w:cs="Times New Roman"/>
                <w:b/>
                <w:bCs/>
                <w:sz w:val="20"/>
                <w:szCs w:val="20"/>
              </w:rPr>
            </w:pPr>
            <w:r w:rsidRPr="001877EF">
              <w:rPr>
                <w:rFonts w:cs="Times New Roman"/>
                <w:b/>
                <w:bCs/>
                <w:sz w:val="22"/>
              </w:rPr>
              <w:t>Intercepts</w:t>
            </w:r>
          </w:p>
        </w:tc>
      </w:tr>
      <w:tr w:rsidR="0091772F" w:rsidRPr="001877EF" w14:paraId="4B7EDC46" w14:textId="77777777" w:rsidTr="008361A1">
        <w:tc>
          <w:tcPr>
            <w:tcW w:w="9427" w:type="dxa"/>
            <w:gridSpan w:val="3"/>
            <w:tcBorders>
              <w:top w:val="single" w:sz="18" w:space="0" w:color="auto"/>
              <w:left w:val="single" w:sz="18" w:space="0" w:color="auto"/>
              <w:bottom w:val="single" w:sz="18" w:space="0" w:color="auto"/>
              <w:right w:val="single" w:sz="18" w:space="0" w:color="auto"/>
            </w:tcBorders>
            <w:vAlign w:val="center"/>
          </w:tcPr>
          <w:p w14:paraId="49227F6A" w14:textId="77777777" w:rsidR="0091772F" w:rsidRPr="001877EF" w:rsidRDefault="0091772F" w:rsidP="008361A1">
            <w:pPr>
              <w:spacing w:line="276" w:lineRule="auto"/>
              <w:rPr>
                <w:rFonts w:cs="Times New Roman"/>
                <w:sz w:val="20"/>
                <w:szCs w:val="20"/>
              </w:rPr>
            </w:pPr>
            <w:r w:rsidRPr="001877EF">
              <w:rPr>
                <w:rFonts w:cs="Times New Roman"/>
                <w:sz w:val="20"/>
                <w:szCs w:val="20"/>
              </w:rPr>
              <w:t>A separate intercept is defined for each state and named for the state: AM BA DF ES GO MG PE PR RJ RS SC SP</w:t>
            </w:r>
          </w:p>
        </w:tc>
      </w:tr>
      <w:tr w:rsidR="0091772F" w:rsidRPr="001877EF" w14:paraId="7E76A93B" w14:textId="77777777" w:rsidTr="008361A1">
        <w:tc>
          <w:tcPr>
            <w:tcW w:w="9427" w:type="dxa"/>
            <w:gridSpan w:val="3"/>
            <w:tcBorders>
              <w:top w:val="single" w:sz="18" w:space="0" w:color="auto"/>
              <w:left w:val="single" w:sz="18" w:space="0" w:color="auto"/>
              <w:bottom w:val="single" w:sz="18" w:space="0" w:color="auto"/>
              <w:right w:val="single" w:sz="18" w:space="0" w:color="auto"/>
            </w:tcBorders>
            <w:vAlign w:val="center"/>
          </w:tcPr>
          <w:p w14:paraId="5CD5504E" w14:textId="77777777" w:rsidR="0091772F" w:rsidRPr="001877EF" w:rsidRDefault="0091772F" w:rsidP="008361A1">
            <w:pPr>
              <w:spacing w:line="276" w:lineRule="auto"/>
              <w:jc w:val="center"/>
              <w:rPr>
                <w:rFonts w:cs="Times New Roman"/>
                <w:b/>
                <w:bCs/>
                <w:sz w:val="22"/>
              </w:rPr>
            </w:pPr>
            <w:r w:rsidRPr="001877EF">
              <w:rPr>
                <w:rFonts w:cs="Times New Roman"/>
                <w:b/>
                <w:bCs/>
                <w:sz w:val="22"/>
              </w:rPr>
              <w:t>Non-Pharmaceutical Interventions (NPIs)</w:t>
            </w:r>
          </w:p>
        </w:tc>
      </w:tr>
      <w:tr w:rsidR="0091772F" w:rsidRPr="001877EF" w14:paraId="3CF63F1B" w14:textId="77777777" w:rsidTr="008361A1">
        <w:tc>
          <w:tcPr>
            <w:tcW w:w="9427" w:type="dxa"/>
            <w:gridSpan w:val="3"/>
            <w:tcBorders>
              <w:top w:val="single" w:sz="18" w:space="0" w:color="auto"/>
              <w:left w:val="single" w:sz="18" w:space="0" w:color="auto"/>
              <w:right w:val="single" w:sz="18" w:space="0" w:color="auto"/>
            </w:tcBorders>
            <w:vAlign w:val="center"/>
          </w:tcPr>
          <w:p w14:paraId="29474807" w14:textId="77777777" w:rsidR="0091772F" w:rsidRPr="001877EF" w:rsidRDefault="0091772F" w:rsidP="008361A1">
            <w:pPr>
              <w:numPr>
                <w:ilvl w:val="0"/>
                <w:numId w:val="1"/>
              </w:numPr>
              <w:spacing w:line="276" w:lineRule="auto"/>
              <w:contextualSpacing/>
              <w:rPr>
                <w:rFonts w:cs="Times New Roman"/>
                <w:sz w:val="20"/>
                <w:szCs w:val="20"/>
              </w:rPr>
            </w:pPr>
            <w:r w:rsidRPr="001877EF">
              <w:rPr>
                <w:rFonts w:cs="Times New Roman"/>
                <w:sz w:val="20"/>
                <w:szCs w:val="20"/>
              </w:rPr>
              <w:t>Each NPI is represented by two indicator variables, one for partial suspension</w:t>
            </w:r>
            <w:r>
              <w:rPr>
                <w:rFonts w:cs="Times New Roman"/>
                <w:sz w:val="20"/>
                <w:szCs w:val="20"/>
              </w:rPr>
              <w:t>/mandate</w:t>
            </w:r>
            <w:r w:rsidRPr="001877EF">
              <w:rPr>
                <w:rFonts w:cs="Times New Roman"/>
                <w:sz w:val="20"/>
                <w:szCs w:val="20"/>
              </w:rPr>
              <w:t>, one for full suspension</w:t>
            </w:r>
            <w:r>
              <w:rPr>
                <w:rFonts w:cs="Times New Roman"/>
                <w:sz w:val="20"/>
                <w:szCs w:val="20"/>
              </w:rPr>
              <w:t>/mandate</w:t>
            </w:r>
            <w:r w:rsidRPr="001877EF">
              <w:rPr>
                <w:rFonts w:cs="Times New Roman"/>
                <w:sz w:val="20"/>
                <w:szCs w:val="20"/>
              </w:rPr>
              <w:t>; no suspension</w:t>
            </w:r>
            <w:r>
              <w:rPr>
                <w:rFonts w:cs="Times New Roman"/>
                <w:sz w:val="20"/>
                <w:szCs w:val="20"/>
              </w:rPr>
              <w:t>/mandate</w:t>
            </w:r>
            <w:r w:rsidRPr="001877EF">
              <w:rPr>
                <w:rFonts w:cs="Times New Roman"/>
                <w:sz w:val="20"/>
                <w:szCs w:val="20"/>
              </w:rPr>
              <w:t xml:space="preserve"> is the reference category.  </w:t>
            </w:r>
          </w:p>
          <w:p w14:paraId="2EA2F74E" w14:textId="766C378F" w:rsidR="0091772F" w:rsidRPr="001877EF" w:rsidRDefault="0091772F" w:rsidP="008361A1">
            <w:pPr>
              <w:numPr>
                <w:ilvl w:val="0"/>
                <w:numId w:val="1"/>
              </w:numPr>
              <w:spacing w:line="276" w:lineRule="auto"/>
              <w:contextualSpacing/>
              <w:rPr>
                <w:rFonts w:cs="Times New Roman"/>
                <w:sz w:val="22"/>
              </w:rPr>
            </w:pPr>
            <w:r w:rsidRPr="001877EF">
              <w:rPr>
                <w:rFonts w:cs="Times New Roman"/>
                <w:sz w:val="20"/>
                <w:szCs w:val="20"/>
              </w:rPr>
              <w:t>To reflect the lag between infection and reporting, and thus the lag between implementation of the NPI and any possible effect on cases, the indicator variables start two weeks (14 days) after the date the NPI was implemented. For deaths, the indicator variables start three weeks (21 days) after the date the NPI was implemented.</w:t>
            </w:r>
            <w:r>
              <w:rPr>
                <w:rFonts w:cs="Times New Roman"/>
                <w:sz w:val="20"/>
                <w:szCs w:val="20"/>
              </w:rPr>
              <w:t xml:space="preserve"> These lagged variables are denoted in the data file by 14 or 21 attached </w:t>
            </w:r>
            <w:r w:rsidR="00BB6033">
              <w:rPr>
                <w:rFonts w:cs="Times New Roman"/>
                <w:sz w:val="20"/>
                <w:szCs w:val="20"/>
              </w:rPr>
              <w:t>to</w:t>
            </w:r>
            <w:r>
              <w:rPr>
                <w:rFonts w:cs="Times New Roman"/>
                <w:sz w:val="20"/>
                <w:szCs w:val="20"/>
              </w:rPr>
              <w:t xml:space="preserve"> the end of the variable name.</w:t>
            </w:r>
          </w:p>
        </w:tc>
      </w:tr>
      <w:tr w:rsidR="0091772F" w:rsidRPr="001877EF" w14:paraId="5673BE8C" w14:textId="77777777" w:rsidTr="008361A1">
        <w:tc>
          <w:tcPr>
            <w:tcW w:w="1597" w:type="dxa"/>
            <w:tcBorders>
              <w:left w:val="single" w:sz="18" w:space="0" w:color="auto"/>
            </w:tcBorders>
            <w:vAlign w:val="center"/>
          </w:tcPr>
          <w:p w14:paraId="4DDFCB7F" w14:textId="77777777" w:rsidR="0091772F" w:rsidRPr="001877EF" w:rsidRDefault="0091772F" w:rsidP="008361A1">
            <w:pPr>
              <w:spacing w:line="276" w:lineRule="auto"/>
              <w:rPr>
                <w:rFonts w:cs="Times New Roman"/>
                <w:sz w:val="22"/>
              </w:rPr>
            </w:pPr>
            <w:r w:rsidRPr="001877EF">
              <w:rPr>
                <w:rFonts w:cs="Times New Roman"/>
                <w:sz w:val="22"/>
              </w:rPr>
              <w:t>class1c</w:t>
            </w:r>
          </w:p>
        </w:tc>
        <w:tc>
          <w:tcPr>
            <w:tcW w:w="1940" w:type="dxa"/>
            <w:vMerge w:val="restart"/>
            <w:vAlign w:val="center"/>
          </w:tcPr>
          <w:p w14:paraId="1D8E9511" w14:textId="77777777" w:rsidR="0091772F" w:rsidRPr="001877EF" w:rsidRDefault="0091772F" w:rsidP="008361A1">
            <w:pPr>
              <w:spacing w:line="276" w:lineRule="auto"/>
              <w:rPr>
                <w:rFonts w:cs="Times New Roman"/>
                <w:sz w:val="22"/>
              </w:rPr>
            </w:pPr>
            <w:r w:rsidRPr="001877EF">
              <w:rPr>
                <w:rFonts w:cs="Times New Roman"/>
                <w:sz w:val="22"/>
              </w:rPr>
              <w:t>s_classes012</w:t>
            </w:r>
          </w:p>
        </w:tc>
        <w:tc>
          <w:tcPr>
            <w:tcW w:w="5890" w:type="dxa"/>
            <w:tcBorders>
              <w:right w:val="single" w:sz="18" w:space="0" w:color="auto"/>
            </w:tcBorders>
            <w:vAlign w:val="center"/>
          </w:tcPr>
          <w:p w14:paraId="01F95D0F" w14:textId="77777777" w:rsidR="0091772F" w:rsidRPr="001877EF" w:rsidRDefault="0091772F" w:rsidP="008361A1">
            <w:pPr>
              <w:spacing w:line="276" w:lineRule="auto"/>
              <w:rPr>
                <w:rFonts w:cs="Times New Roman"/>
                <w:sz w:val="22"/>
              </w:rPr>
            </w:pPr>
            <w:r w:rsidRPr="001877EF">
              <w:rPr>
                <w:rFonts w:cs="Times New Roman"/>
                <w:sz w:val="22"/>
              </w:rPr>
              <w:t>1 = partial suspension of classes</w:t>
            </w:r>
          </w:p>
        </w:tc>
      </w:tr>
      <w:tr w:rsidR="0091772F" w:rsidRPr="001877EF" w14:paraId="17FB848A" w14:textId="77777777" w:rsidTr="008361A1">
        <w:tc>
          <w:tcPr>
            <w:tcW w:w="1597" w:type="dxa"/>
            <w:tcBorders>
              <w:left w:val="single" w:sz="18" w:space="0" w:color="auto"/>
            </w:tcBorders>
            <w:vAlign w:val="center"/>
          </w:tcPr>
          <w:p w14:paraId="3161E03F" w14:textId="77777777" w:rsidR="0091772F" w:rsidRPr="001877EF" w:rsidRDefault="0091772F" w:rsidP="008361A1">
            <w:pPr>
              <w:spacing w:line="276" w:lineRule="auto"/>
              <w:rPr>
                <w:rFonts w:cs="Times New Roman"/>
                <w:sz w:val="22"/>
              </w:rPr>
            </w:pPr>
            <w:r w:rsidRPr="001877EF">
              <w:rPr>
                <w:rFonts w:cs="Times New Roman"/>
                <w:sz w:val="22"/>
              </w:rPr>
              <w:t>class2c</w:t>
            </w:r>
          </w:p>
        </w:tc>
        <w:tc>
          <w:tcPr>
            <w:tcW w:w="1940" w:type="dxa"/>
            <w:vMerge/>
            <w:vAlign w:val="center"/>
          </w:tcPr>
          <w:p w14:paraId="12E4A423"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68797E9F" w14:textId="77777777" w:rsidR="0091772F" w:rsidRPr="001877EF" w:rsidRDefault="0091772F" w:rsidP="008361A1">
            <w:pPr>
              <w:spacing w:line="276" w:lineRule="auto"/>
              <w:rPr>
                <w:rFonts w:cs="Times New Roman"/>
                <w:sz w:val="22"/>
              </w:rPr>
            </w:pPr>
            <w:r w:rsidRPr="001877EF">
              <w:rPr>
                <w:rFonts w:cs="Times New Roman"/>
                <w:sz w:val="22"/>
              </w:rPr>
              <w:t>1 = full suspension of classes</w:t>
            </w:r>
          </w:p>
        </w:tc>
      </w:tr>
      <w:tr w:rsidR="0091772F" w:rsidRPr="001877EF" w14:paraId="6A5EC6D1" w14:textId="77777777" w:rsidTr="008361A1">
        <w:tc>
          <w:tcPr>
            <w:tcW w:w="1597" w:type="dxa"/>
            <w:tcBorders>
              <w:left w:val="single" w:sz="18" w:space="0" w:color="auto"/>
            </w:tcBorders>
            <w:vAlign w:val="center"/>
          </w:tcPr>
          <w:p w14:paraId="27184F64" w14:textId="77777777" w:rsidR="0091772F" w:rsidRPr="001877EF" w:rsidRDefault="0091772F" w:rsidP="008361A1">
            <w:pPr>
              <w:spacing w:line="276" w:lineRule="auto"/>
              <w:rPr>
                <w:rFonts w:cs="Times New Roman"/>
                <w:sz w:val="22"/>
              </w:rPr>
            </w:pPr>
            <w:r w:rsidRPr="001877EF">
              <w:rPr>
                <w:rFonts w:cs="Times New Roman"/>
                <w:sz w:val="22"/>
              </w:rPr>
              <w:t>events1c</w:t>
            </w:r>
          </w:p>
        </w:tc>
        <w:tc>
          <w:tcPr>
            <w:tcW w:w="1940" w:type="dxa"/>
            <w:vMerge w:val="restart"/>
            <w:vAlign w:val="center"/>
          </w:tcPr>
          <w:p w14:paraId="6AAA7E13" w14:textId="77777777" w:rsidR="0091772F" w:rsidRPr="001877EF" w:rsidRDefault="0091772F" w:rsidP="008361A1">
            <w:pPr>
              <w:spacing w:line="276" w:lineRule="auto"/>
              <w:rPr>
                <w:rFonts w:cs="Times New Roman"/>
                <w:sz w:val="22"/>
              </w:rPr>
            </w:pPr>
            <w:r w:rsidRPr="001877EF">
              <w:rPr>
                <w:rFonts w:cs="Times New Roman"/>
                <w:sz w:val="22"/>
              </w:rPr>
              <w:t>s_events012</w:t>
            </w:r>
          </w:p>
        </w:tc>
        <w:tc>
          <w:tcPr>
            <w:tcW w:w="5890" w:type="dxa"/>
            <w:tcBorders>
              <w:right w:val="single" w:sz="18" w:space="0" w:color="auto"/>
            </w:tcBorders>
            <w:vAlign w:val="center"/>
          </w:tcPr>
          <w:p w14:paraId="29B39B6F" w14:textId="77777777" w:rsidR="0091772F" w:rsidRPr="001877EF" w:rsidRDefault="0091772F" w:rsidP="008361A1">
            <w:pPr>
              <w:spacing w:line="276" w:lineRule="auto"/>
              <w:rPr>
                <w:rFonts w:cs="Times New Roman"/>
                <w:sz w:val="22"/>
              </w:rPr>
            </w:pPr>
            <w:r w:rsidRPr="001877EF">
              <w:rPr>
                <w:rFonts w:cs="Times New Roman"/>
                <w:sz w:val="22"/>
              </w:rPr>
              <w:t>1 = partial suspension of events</w:t>
            </w:r>
          </w:p>
        </w:tc>
      </w:tr>
      <w:tr w:rsidR="0091772F" w:rsidRPr="001877EF" w14:paraId="05454697" w14:textId="77777777" w:rsidTr="008361A1">
        <w:tc>
          <w:tcPr>
            <w:tcW w:w="1597" w:type="dxa"/>
            <w:tcBorders>
              <w:left w:val="single" w:sz="18" w:space="0" w:color="auto"/>
            </w:tcBorders>
            <w:vAlign w:val="center"/>
          </w:tcPr>
          <w:p w14:paraId="50FE236E" w14:textId="77777777" w:rsidR="0091772F" w:rsidRPr="001877EF" w:rsidRDefault="0091772F" w:rsidP="008361A1">
            <w:pPr>
              <w:spacing w:line="276" w:lineRule="auto"/>
              <w:rPr>
                <w:rFonts w:cs="Times New Roman"/>
                <w:sz w:val="22"/>
              </w:rPr>
            </w:pPr>
            <w:r w:rsidRPr="001877EF">
              <w:rPr>
                <w:rFonts w:cs="Times New Roman"/>
                <w:sz w:val="22"/>
              </w:rPr>
              <w:t>events2c</w:t>
            </w:r>
          </w:p>
        </w:tc>
        <w:tc>
          <w:tcPr>
            <w:tcW w:w="1940" w:type="dxa"/>
            <w:vMerge/>
            <w:vAlign w:val="center"/>
          </w:tcPr>
          <w:p w14:paraId="40A21531"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2513D7A9" w14:textId="77777777" w:rsidR="0091772F" w:rsidRPr="001877EF" w:rsidRDefault="0091772F" w:rsidP="008361A1">
            <w:pPr>
              <w:spacing w:line="276" w:lineRule="auto"/>
              <w:rPr>
                <w:rFonts w:cs="Times New Roman"/>
                <w:sz w:val="22"/>
              </w:rPr>
            </w:pPr>
            <w:r w:rsidRPr="001877EF">
              <w:rPr>
                <w:rFonts w:cs="Times New Roman"/>
                <w:sz w:val="22"/>
              </w:rPr>
              <w:t>1 = full suspension of events</w:t>
            </w:r>
          </w:p>
        </w:tc>
      </w:tr>
      <w:tr w:rsidR="0091772F" w:rsidRPr="001877EF" w14:paraId="01A1E992" w14:textId="77777777" w:rsidTr="008361A1">
        <w:tc>
          <w:tcPr>
            <w:tcW w:w="1597" w:type="dxa"/>
            <w:tcBorders>
              <w:left w:val="single" w:sz="18" w:space="0" w:color="auto"/>
            </w:tcBorders>
            <w:vAlign w:val="center"/>
          </w:tcPr>
          <w:p w14:paraId="4DB1BA50" w14:textId="77777777" w:rsidR="0091772F" w:rsidRPr="001877EF" w:rsidRDefault="0091772F" w:rsidP="008361A1">
            <w:pPr>
              <w:spacing w:line="276" w:lineRule="auto"/>
              <w:rPr>
                <w:rFonts w:cs="Times New Roman"/>
                <w:sz w:val="22"/>
              </w:rPr>
            </w:pPr>
            <w:r w:rsidRPr="001877EF">
              <w:rPr>
                <w:rFonts w:cs="Times New Roman"/>
                <w:sz w:val="22"/>
              </w:rPr>
              <w:t>industry1c</w:t>
            </w:r>
          </w:p>
        </w:tc>
        <w:tc>
          <w:tcPr>
            <w:tcW w:w="1940" w:type="dxa"/>
            <w:vMerge w:val="restart"/>
            <w:vAlign w:val="center"/>
          </w:tcPr>
          <w:p w14:paraId="36457664" w14:textId="77777777" w:rsidR="0091772F" w:rsidRPr="001877EF" w:rsidRDefault="0091772F" w:rsidP="008361A1">
            <w:pPr>
              <w:spacing w:line="276" w:lineRule="auto"/>
              <w:rPr>
                <w:rFonts w:cs="Times New Roman"/>
                <w:sz w:val="22"/>
              </w:rPr>
            </w:pPr>
            <w:r w:rsidRPr="001877EF">
              <w:rPr>
                <w:rFonts w:cs="Times New Roman"/>
                <w:sz w:val="22"/>
              </w:rPr>
              <w:t>s_industry012</w:t>
            </w:r>
          </w:p>
        </w:tc>
        <w:tc>
          <w:tcPr>
            <w:tcW w:w="5890" w:type="dxa"/>
            <w:tcBorders>
              <w:right w:val="single" w:sz="18" w:space="0" w:color="auto"/>
            </w:tcBorders>
            <w:vAlign w:val="center"/>
          </w:tcPr>
          <w:p w14:paraId="21DBA050" w14:textId="77777777" w:rsidR="0091772F" w:rsidRPr="001877EF" w:rsidRDefault="0091772F" w:rsidP="008361A1">
            <w:pPr>
              <w:spacing w:line="276" w:lineRule="auto"/>
              <w:rPr>
                <w:rFonts w:cs="Times New Roman"/>
                <w:sz w:val="22"/>
              </w:rPr>
            </w:pPr>
            <w:r w:rsidRPr="001877EF">
              <w:rPr>
                <w:rFonts w:cs="Times New Roman"/>
                <w:sz w:val="22"/>
              </w:rPr>
              <w:t>1 = partial suspension of industry</w:t>
            </w:r>
          </w:p>
        </w:tc>
      </w:tr>
      <w:tr w:rsidR="0091772F" w:rsidRPr="001877EF" w14:paraId="7E27DED1" w14:textId="77777777" w:rsidTr="008361A1">
        <w:tc>
          <w:tcPr>
            <w:tcW w:w="1597" w:type="dxa"/>
            <w:tcBorders>
              <w:left w:val="single" w:sz="18" w:space="0" w:color="auto"/>
            </w:tcBorders>
            <w:vAlign w:val="center"/>
          </w:tcPr>
          <w:p w14:paraId="3B8A249C" w14:textId="77777777" w:rsidR="0091772F" w:rsidRPr="001877EF" w:rsidRDefault="0091772F" w:rsidP="008361A1">
            <w:pPr>
              <w:spacing w:line="276" w:lineRule="auto"/>
              <w:rPr>
                <w:rFonts w:cs="Times New Roman"/>
                <w:sz w:val="22"/>
              </w:rPr>
            </w:pPr>
            <w:r w:rsidRPr="001877EF">
              <w:rPr>
                <w:rFonts w:cs="Times New Roman"/>
                <w:sz w:val="22"/>
              </w:rPr>
              <w:t>industry2c</w:t>
            </w:r>
          </w:p>
        </w:tc>
        <w:tc>
          <w:tcPr>
            <w:tcW w:w="1940" w:type="dxa"/>
            <w:vMerge/>
            <w:vAlign w:val="center"/>
          </w:tcPr>
          <w:p w14:paraId="3DAB52B5"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7090CD7B" w14:textId="77777777" w:rsidR="0091772F" w:rsidRPr="001877EF" w:rsidRDefault="0091772F" w:rsidP="008361A1">
            <w:pPr>
              <w:spacing w:line="276" w:lineRule="auto"/>
              <w:rPr>
                <w:rFonts w:cs="Times New Roman"/>
                <w:sz w:val="22"/>
              </w:rPr>
            </w:pPr>
            <w:r w:rsidRPr="001877EF">
              <w:rPr>
                <w:rFonts w:cs="Times New Roman"/>
                <w:sz w:val="22"/>
              </w:rPr>
              <w:t>1 = full suspension of industry</w:t>
            </w:r>
          </w:p>
        </w:tc>
      </w:tr>
      <w:tr w:rsidR="0091772F" w:rsidRPr="001877EF" w14:paraId="35EE32AC" w14:textId="77777777" w:rsidTr="008361A1">
        <w:tc>
          <w:tcPr>
            <w:tcW w:w="1597" w:type="dxa"/>
            <w:tcBorders>
              <w:left w:val="single" w:sz="18" w:space="0" w:color="auto"/>
            </w:tcBorders>
            <w:vAlign w:val="center"/>
          </w:tcPr>
          <w:p w14:paraId="5A9BF0EF" w14:textId="77777777" w:rsidR="0091772F" w:rsidRPr="001877EF" w:rsidRDefault="0091772F" w:rsidP="008361A1">
            <w:pPr>
              <w:spacing w:line="276" w:lineRule="auto"/>
              <w:rPr>
                <w:rFonts w:cs="Times New Roman"/>
                <w:sz w:val="22"/>
              </w:rPr>
            </w:pPr>
            <w:r w:rsidRPr="001877EF">
              <w:rPr>
                <w:rFonts w:cs="Times New Roman"/>
                <w:sz w:val="22"/>
              </w:rPr>
              <w:t>restn1c</w:t>
            </w:r>
          </w:p>
        </w:tc>
        <w:tc>
          <w:tcPr>
            <w:tcW w:w="1940" w:type="dxa"/>
            <w:vMerge w:val="restart"/>
            <w:vAlign w:val="center"/>
          </w:tcPr>
          <w:p w14:paraId="2B76E827" w14:textId="77777777" w:rsidR="0091772F" w:rsidRPr="001877EF" w:rsidRDefault="0091772F" w:rsidP="008361A1">
            <w:pPr>
              <w:spacing w:line="276" w:lineRule="auto"/>
              <w:rPr>
                <w:rFonts w:cs="Times New Roman"/>
                <w:sz w:val="22"/>
              </w:rPr>
            </w:pPr>
            <w:r w:rsidRPr="001877EF">
              <w:rPr>
                <w:rFonts w:cs="Times New Roman"/>
                <w:sz w:val="22"/>
              </w:rPr>
              <w:t>s_restaurants012</w:t>
            </w:r>
          </w:p>
        </w:tc>
        <w:tc>
          <w:tcPr>
            <w:tcW w:w="5890" w:type="dxa"/>
            <w:tcBorders>
              <w:right w:val="single" w:sz="18" w:space="0" w:color="auto"/>
            </w:tcBorders>
            <w:vAlign w:val="center"/>
          </w:tcPr>
          <w:p w14:paraId="0BB4E628" w14:textId="77777777" w:rsidR="0091772F" w:rsidRPr="001877EF" w:rsidRDefault="0091772F" w:rsidP="008361A1">
            <w:pPr>
              <w:spacing w:line="276" w:lineRule="auto"/>
              <w:rPr>
                <w:rFonts w:cs="Times New Roman"/>
                <w:sz w:val="22"/>
              </w:rPr>
            </w:pPr>
            <w:r w:rsidRPr="001877EF">
              <w:rPr>
                <w:rFonts w:cs="Times New Roman"/>
                <w:sz w:val="22"/>
              </w:rPr>
              <w:t>1 = partial suspension of restaurants</w:t>
            </w:r>
          </w:p>
        </w:tc>
      </w:tr>
      <w:tr w:rsidR="0091772F" w:rsidRPr="001877EF" w14:paraId="19019EA7" w14:textId="77777777" w:rsidTr="008361A1">
        <w:tc>
          <w:tcPr>
            <w:tcW w:w="1597" w:type="dxa"/>
            <w:tcBorders>
              <w:left w:val="single" w:sz="18" w:space="0" w:color="auto"/>
            </w:tcBorders>
            <w:vAlign w:val="center"/>
          </w:tcPr>
          <w:p w14:paraId="0E1AB56C" w14:textId="77777777" w:rsidR="0091772F" w:rsidRPr="001877EF" w:rsidRDefault="0091772F" w:rsidP="008361A1">
            <w:pPr>
              <w:spacing w:line="276" w:lineRule="auto"/>
              <w:rPr>
                <w:rFonts w:cs="Times New Roman"/>
                <w:sz w:val="22"/>
              </w:rPr>
            </w:pPr>
            <w:r w:rsidRPr="001877EF">
              <w:rPr>
                <w:rFonts w:cs="Times New Roman"/>
                <w:sz w:val="22"/>
              </w:rPr>
              <w:t>restn2c</w:t>
            </w:r>
          </w:p>
        </w:tc>
        <w:tc>
          <w:tcPr>
            <w:tcW w:w="1940" w:type="dxa"/>
            <w:vMerge/>
            <w:vAlign w:val="center"/>
          </w:tcPr>
          <w:p w14:paraId="31AEA7E8"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146C478D" w14:textId="77777777" w:rsidR="0091772F" w:rsidRPr="001877EF" w:rsidRDefault="0091772F" w:rsidP="008361A1">
            <w:pPr>
              <w:spacing w:line="276" w:lineRule="auto"/>
              <w:rPr>
                <w:rFonts w:cs="Times New Roman"/>
                <w:sz w:val="22"/>
              </w:rPr>
            </w:pPr>
            <w:r w:rsidRPr="001877EF">
              <w:rPr>
                <w:rFonts w:cs="Times New Roman"/>
                <w:sz w:val="22"/>
              </w:rPr>
              <w:t>1 = full suspension of restaurants</w:t>
            </w:r>
          </w:p>
        </w:tc>
      </w:tr>
      <w:tr w:rsidR="0091772F" w:rsidRPr="001877EF" w14:paraId="6CFFCD89" w14:textId="77777777" w:rsidTr="008361A1">
        <w:tc>
          <w:tcPr>
            <w:tcW w:w="1597" w:type="dxa"/>
            <w:tcBorders>
              <w:left w:val="single" w:sz="18" w:space="0" w:color="auto"/>
            </w:tcBorders>
            <w:vAlign w:val="center"/>
          </w:tcPr>
          <w:p w14:paraId="6E302982" w14:textId="77777777" w:rsidR="0091772F" w:rsidRPr="001877EF" w:rsidRDefault="0091772F" w:rsidP="008361A1">
            <w:pPr>
              <w:spacing w:line="276" w:lineRule="auto"/>
              <w:rPr>
                <w:rFonts w:cs="Times New Roman"/>
                <w:sz w:val="22"/>
              </w:rPr>
            </w:pPr>
            <w:r w:rsidRPr="001877EF">
              <w:rPr>
                <w:rFonts w:cs="Times New Roman"/>
                <w:sz w:val="22"/>
              </w:rPr>
              <w:t>shop1c</w:t>
            </w:r>
          </w:p>
        </w:tc>
        <w:tc>
          <w:tcPr>
            <w:tcW w:w="1940" w:type="dxa"/>
            <w:vMerge w:val="restart"/>
            <w:vAlign w:val="center"/>
          </w:tcPr>
          <w:p w14:paraId="48B54CF3" w14:textId="77777777" w:rsidR="0091772F" w:rsidRPr="001877EF" w:rsidRDefault="0091772F" w:rsidP="008361A1">
            <w:pPr>
              <w:spacing w:line="276" w:lineRule="auto"/>
              <w:rPr>
                <w:rFonts w:cs="Times New Roman"/>
                <w:sz w:val="22"/>
              </w:rPr>
            </w:pPr>
            <w:r w:rsidRPr="001877EF">
              <w:rPr>
                <w:rFonts w:cs="Times New Roman"/>
                <w:sz w:val="22"/>
              </w:rPr>
              <w:t>s_shops012</w:t>
            </w:r>
          </w:p>
        </w:tc>
        <w:tc>
          <w:tcPr>
            <w:tcW w:w="5890" w:type="dxa"/>
            <w:tcBorders>
              <w:right w:val="single" w:sz="18" w:space="0" w:color="auto"/>
            </w:tcBorders>
            <w:vAlign w:val="center"/>
          </w:tcPr>
          <w:p w14:paraId="6E55CF54" w14:textId="77777777" w:rsidR="0091772F" w:rsidRPr="001877EF" w:rsidRDefault="0091772F" w:rsidP="008361A1">
            <w:pPr>
              <w:spacing w:line="276" w:lineRule="auto"/>
              <w:rPr>
                <w:rFonts w:cs="Times New Roman"/>
                <w:sz w:val="22"/>
              </w:rPr>
            </w:pPr>
            <w:r w:rsidRPr="001877EF">
              <w:rPr>
                <w:rFonts w:cs="Times New Roman"/>
                <w:sz w:val="22"/>
              </w:rPr>
              <w:t>1 = partial suspension of shops</w:t>
            </w:r>
          </w:p>
        </w:tc>
      </w:tr>
      <w:tr w:rsidR="0091772F" w:rsidRPr="001877EF" w14:paraId="213AF809" w14:textId="77777777" w:rsidTr="008361A1">
        <w:tc>
          <w:tcPr>
            <w:tcW w:w="1597" w:type="dxa"/>
            <w:tcBorders>
              <w:left w:val="single" w:sz="18" w:space="0" w:color="auto"/>
            </w:tcBorders>
            <w:vAlign w:val="center"/>
          </w:tcPr>
          <w:p w14:paraId="2C7D0312" w14:textId="77777777" w:rsidR="0091772F" w:rsidRPr="001877EF" w:rsidRDefault="0091772F" w:rsidP="008361A1">
            <w:pPr>
              <w:spacing w:line="276" w:lineRule="auto"/>
              <w:rPr>
                <w:rFonts w:cs="Times New Roman"/>
                <w:sz w:val="22"/>
              </w:rPr>
            </w:pPr>
            <w:r w:rsidRPr="001877EF">
              <w:rPr>
                <w:rFonts w:cs="Times New Roman"/>
                <w:sz w:val="22"/>
              </w:rPr>
              <w:t>shop2c</w:t>
            </w:r>
          </w:p>
        </w:tc>
        <w:tc>
          <w:tcPr>
            <w:tcW w:w="1940" w:type="dxa"/>
            <w:vMerge/>
            <w:vAlign w:val="center"/>
          </w:tcPr>
          <w:p w14:paraId="52EB9E95"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342F9A30" w14:textId="77777777" w:rsidR="0091772F" w:rsidRPr="001877EF" w:rsidRDefault="0091772F" w:rsidP="008361A1">
            <w:pPr>
              <w:spacing w:line="276" w:lineRule="auto"/>
              <w:rPr>
                <w:rFonts w:cs="Times New Roman"/>
                <w:sz w:val="22"/>
              </w:rPr>
            </w:pPr>
            <w:r w:rsidRPr="001877EF">
              <w:rPr>
                <w:rFonts w:cs="Times New Roman"/>
                <w:sz w:val="22"/>
              </w:rPr>
              <w:t>1 = full suspension of shops</w:t>
            </w:r>
          </w:p>
        </w:tc>
      </w:tr>
      <w:tr w:rsidR="0091772F" w:rsidRPr="001877EF" w14:paraId="21CCA2B5" w14:textId="77777777" w:rsidTr="008361A1">
        <w:tc>
          <w:tcPr>
            <w:tcW w:w="1597" w:type="dxa"/>
            <w:tcBorders>
              <w:left w:val="single" w:sz="18" w:space="0" w:color="auto"/>
            </w:tcBorders>
            <w:vAlign w:val="center"/>
          </w:tcPr>
          <w:p w14:paraId="6E4A2784" w14:textId="77777777" w:rsidR="0091772F" w:rsidRPr="001877EF" w:rsidRDefault="0091772F" w:rsidP="008361A1">
            <w:pPr>
              <w:spacing w:line="276" w:lineRule="auto"/>
              <w:rPr>
                <w:rFonts w:cs="Times New Roman"/>
                <w:sz w:val="22"/>
              </w:rPr>
            </w:pPr>
            <w:r w:rsidRPr="001877EF">
              <w:rPr>
                <w:rFonts w:cs="Times New Roman"/>
                <w:sz w:val="22"/>
              </w:rPr>
              <w:t>transport1c</w:t>
            </w:r>
          </w:p>
        </w:tc>
        <w:tc>
          <w:tcPr>
            <w:tcW w:w="1940" w:type="dxa"/>
            <w:vMerge w:val="restart"/>
            <w:vAlign w:val="center"/>
          </w:tcPr>
          <w:p w14:paraId="2DDAE046" w14:textId="77777777" w:rsidR="0091772F" w:rsidRPr="001877EF" w:rsidRDefault="0091772F" w:rsidP="008361A1">
            <w:pPr>
              <w:spacing w:line="276" w:lineRule="auto"/>
              <w:rPr>
                <w:rFonts w:cs="Times New Roman"/>
                <w:sz w:val="22"/>
              </w:rPr>
            </w:pPr>
            <w:r w:rsidRPr="001877EF">
              <w:rPr>
                <w:rFonts w:cs="Times New Roman"/>
                <w:sz w:val="22"/>
              </w:rPr>
              <w:t>s_transport012</w:t>
            </w:r>
          </w:p>
        </w:tc>
        <w:tc>
          <w:tcPr>
            <w:tcW w:w="5890" w:type="dxa"/>
            <w:tcBorders>
              <w:right w:val="single" w:sz="18" w:space="0" w:color="auto"/>
            </w:tcBorders>
            <w:vAlign w:val="center"/>
          </w:tcPr>
          <w:p w14:paraId="40DAB7DE" w14:textId="77777777" w:rsidR="0091772F" w:rsidRPr="001877EF" w:rsidRDefault="0091772F" w:rsidP="008361A1">
            <w:pPr>
              <w:spacing w:line="276" w:lineRule="auto"/>
              <w:rPr>
                <w:rFonts w:cs="Times New Roman"/>
                <w:sz w:val="22"/>
              </w:rPr>
            </w:pPr>
            <w:r w:rsidRPr="001877EF">
              <w:rPr>
                <w:rFonts w:cs="Times New Roman"/>
                <w:sz w:val="22"/>
              </w:rPr>
              <w:t>1 = partial suspension of transport</w:t>
            </w:r>
          </w:p>
        </w:tc>
      </w:tr>
      <w:tr w:rsidR="0091772F" w:rsidRPr="001877EF" w14:paraId="5F866322" w14:textId="77777777" w:rsidTr="008361A1">
        <w:tc>
          <w:tcPr>
            <w:tcW w:w="1597" w:type="dxa"/>
            <w:tcBorders>
              <w:left w:val="single" w:sz="18" w:space="0" w:color="auto"/>
            </w:tcBorders>
            <w:vAlign w:val="center"/>
          </w:tcPr>
          <w:p w14:paraId="428AB22D" w14:textId="77777777" w:rsidR="0091772F" w:rsidRPr="001877EF" w:rsidRDefault="0091772F" w:rsidP="008361A1">
            <w:pPr>
              <w:spacing w:line="276" w:lineRule="auto"/>
              <w:rPr>
                <w:rFonts w:cs="Times New Roman"/>
                <w:sz w:val="22"/>
              </w:rPr>
            </w:pPr>
            <w:r w:rsidRPr="001877EF">
              <w:rPr>
                <w:rFonts w:cs="Times New Roman"/>
                <w:sz w:val="22"/>
              </w:rPr>
              <w:t>transport2c</w:t>
            </w:r>
          </w:p>
        </w:tc>
        <w:tc>
          <w:tcPr>
            <w:tcW w:w="1940" w:type="dxa"/>
            <w:vMerge/>
            <w:vAlign w:val="center"/>
          </w:tcPr>
          <w:p w14:paraId="5DE23992"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4AC76BFB" w14:textId="77777777" w:rsidR="0091772F" w:rsidRPr="001877EF" w:rsidRDefault="0091772F" w:rsidP="008361A1">
            <w:pPr>
              <w:spacing w:line="276" w:lineRule="auto"/>
              <w:rPr>
                <w:rFonts w:cs="Times New Roman"/>
                <w:sz w:val="22"/>
              </w:rPr>
            </w:pPr>
            <w:r w:rsidRPr="001877EF">
              <w:rPr>
                <w:rFonts w:cs="Times New Roman"/>
                <w:sz w:val="22"/>
              </w:rPr>
              <w:t>1 = full suspension of transport</w:t>
            </w:r>
          </w:p>
        </w:tc>
      </w:tr>
      <w:tr w:rsidR="0091772F" w:rsidRPr="001877EF" w14:paraId="05502D2D" w14:textId="77777777" w:rsidTr="008361A1">
        <w:tc>
          <w:tcPr>
            <w:tcW w:w="1597" w:type="dxa"/>
            <w:tcBorders>
              <w:left w:val="single" w:sz="18" w:space="0" w:color="auto"/>
            </w:tcBorders>
            <w:vAlign w:val="center"/>
          </w:tcPr>
          <w:p w14:paraId="4195FF38" w14:textId="77777777" w:rsidR="0091772F" w:rsidRPr="001877EF" w:rsidRDefault="0091772F" w:rsidP="008361A1">
            <w:pPr>
              <w:spacing w:line="276" w:lineRule="auto"/>
              <w:rPr>
                <w:rFonts w:cs="Times New Roman"/>
                <w:sz w:val="22"/>
              </w:rPr>
            </w:pPr>
            <w:r>
              <w:rPr>
                <w:rFonts w:cs="Times New Roman"/>
                <w:sz w:val="22"/>
              </w:rPr>
              <w:t>mask1c</w:t>
            </w:r>
          </w:p>
        </w:tc>
        <w:tc>
          <w:tcPr>
            <w:tcW w:w="1940" w:type="dxa"/>
            <w:vAlign w:val="center"/>
          </w:tcPr>
          <w:p w14:paraId="326CE874"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171E6D34" w14:textId="77777777" w:rsidR="0091772F" w:rsidRPr="001877EF" w:rsidRDefault="0091772F" w:rsidP="008361A1">
            <w:pPr>
              <w:spacing w:line="276" w:lineRule="auto"/>
              <w:rPr>
                <w:rFonts w:cs="Times New Roman"/>
                <w:sz w:val="22"/>
              </w:rPr>
            </w:pPr>
            <w:r>
              <w:rPr>
                <w:rFonts w:cs="Times New Roman"/>
                <w:sz w:val="22"/>
              </w:rPr>
              <w:t>1 = partial mask mandate</w:t>
            </w:r>
          </w:p>
        </w:tc>
      </w:tr>
      <w:tr w:rsidR="0091772F" w:rsidRPr="001877EF" w14:paraId="23B304D2" w14:textId="77777777" w:rsidTr="008361A1">
        <w:tc>
          <w:tcPr>
            <w:tcW w:w="1597" w:type="dxa"/>
            <w:tcBorders>
              <w:left w:val="single" w:sz="18" w:space="0" w:color="auto"/>
            </w:tcBorders>
            <w:vAlign w:val="center"/>
          </w:tcPr>
          <w:p w14:paraId="6FE1BD2F" w14:textId="77777777" w:rsidR="0091772F" w:rsidRPr="001877EF" w:rsidRDefault="0091772F" w:rsidP="008361A1">
            <w:pPr>
              <w:spacing w:line="276" w:lineRule="auto"/>
              <w:rPr>
                <w:rFonts w:cs="Times New Roman"/>
                <w:sz w:val="22"/>
              </w:rPr>
            </w:pPr>
            <w:r>
              <w:rPr>
                <w:rFonts w:cs="Times New Roman"/>
                <w:sz w:val="22"/>
              </w:rPr>
              <w:t>mask2c</w:t>
            </w:r>
          </w:p>
        </w:tc>
        <w:tc>
          <w:tcPr>
            <w:tcW w:w="1940" w:type="dxa"/>
            <w:vAlign w:val="center"/>
          </w:tcPr>
          <w:p w14:paraId="4223A9DD" w14:textId="77777777" w:rsidR="0091772F" w:rsidRPr="001877EF" w:rsidRDefault="0091772F" w:rsidP="008361A1">
            <w:pPr>
              <w:spacing w:line="276" w:lineRule="auto"/>
              <w:rPr>
                <w:rFonts w:cs="Times New Roman"/>
                <w:sz w:val="22"/>
              </w:rPr>
            </w:pPr>
          </w:p>
        </w:tc>
        <w:tc>
          <w:tcPr>
            <w:tcW w:w="5890" w:type="dxa"/>
            <w:tcBorders>
              <w:right w:val="single" w:sz="18" w:space="0" w:color="auto"/>
            </w:tcBorders>
            <w:vAlign w:val="center"/>
          </w:tcPr>
          <w:p w14:paraId="6D384B70" w14:textId="77777777" w:rsidR="0091772F" w:rsidRPr="001877EF" w:rsidRDefault="0091772F" w:rsidP="008361A1">
            <w:pPr>
              <w:spacing w:line="276" w:lineRule="auto"/>
              <w:rPr>
                <w:rFonts w:cs="Times New Roman"/>
                <w:sz w:val="22"/>
              </w:rPr>
            </w:pPr>
            <w:r>
              <w:rPr>
                <w:rFonts w:cs="Times New Roman"/>
                <w:sz w:val="22"/>
              </w:rPr>
              <w:t>1 = full mask mandate</w:t>
            </w:r>
          </w:p>
        </w:tc>
      </w:tr>
      <w:tr w:rsidR="0091772F" w:rsidRPr="001877EF" w14:paraId="13009E1E" w14:textId="77777777" w:rsidTr="008361A1">
        <w:tc>
          <w:tcPr>
            <w:tcW w:w="1597" w:type="dxa"/>
            <w:tcBorders>
              <w:left w:val="single" w:sz="18" w:space="0" w:color="auto"/>
              <w:bottom w:val="single" w:sz="18" w:space="0" w:color="auto"/>
            </w:tcBorders>
            <w:vAlign w:val="center"/>
          </w:tcPr>
          <w:p w14:paraId="25CCACF4" w14:textId="77777777" w:rsidR="0091772F" w:rsidRPr="001877EF" w:rsidRDefault="0091772F" w:rsidP="008361A1">
            <w:pPr>
              <w:spacing w:line="276" w:lineRule="auto"/>
              <w:rPr>
                <w:rFonts w:cs="Times New Roman"/>
                <w:sz w:val="22"/>
              </w:rPr>
            </w:pPr>
          </w:p>
        </w:tc>
        <w:tc>
          <w:tcPr>
            <w:tcW w:w="1940" w:type="dxa"/>
            <w:tcBorders>
              <w:bottom w:val="single" w:sz="18" w:space="0" w:color="auto"/>
            </w:tcBorders>
            <w:vAlign w:val="center"/>
          </w:tcPr>
          <w:p w14:paraId="3813DD1D" w14:textId="77777777" w:rsidR="0091772F" w:rsidRPr="001877EF" w:rsidRDefault="0091772F" w:rsidP="008361A1">
            <w:pPr>
              <w:spacing w:line="276" w:lineRule="auto"/>
              <w:rPr>
                <w:rFonts w:cs="Times New Roman"/>
                <w:sz w:val="22"/>
              </w:rPr>
            </w:pPr>
          </w:p>
        </w:tc>
        <w:tc>
          <w:tcPr>
            <w:tcW w:w="5890" w:type="dxa"/>
            <w:tcBorders>
              <w:bottom w:val="single" w:sz="18" w:space="0" w:color="auto"/>
              <w:right w:val="single" w:sz="18" w:space="0" w:color="auto"/>
            </w:tcBorders>
            <w:vAlign w:val="center"/>
          </w:tcPr>
          <w:p w14:paraId="6D167E85" w14:textId="77777777" w:rsidR="0091772F" w:rsidRPr="001877EF" w:rsidRDefault="0091772F" w:rsidP="008361A1">
            <w:pPr>
              <w:spacing w:line="276" w:lineRule="auto"/>
              <w:rPr>
                <w:rFonts w:cs="Times New Roman"/>
                <w:sz w:val="22"/>
              </w:rPr>
            </w:pPr>
          </w:p>
        </w:tc>
      </w:tr>
    </w:tbl>
    <w:p w14:paraId="776EA85D" w14:textId="77777777" w:rsidR="0027425D" w:rsidRDefault="0027425D" w:rsidP="0091772F"/>
    <w:sectPr w:rsidR="0027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E2A"/>
    <w:multiLevelType w:val="hybridMultilevel"/>
    <w:tmpl w:val="24B6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89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zNDQ1sjQwM7c0NTFT0lEKTi0uzszPAykwrAUAHsRhBiwAAAA="/>
  </w:docVars>
  <w:rsids>
    <w:rsidRoot w:val="0091772F"/>
    <w:rsid w:val="000F7388"/>
    <w:rsid w:val="0027425D"/>
    <w:rsid w:val="00322CAD"/>
    <w:rsid w:val="0091772F"/>
    <w:rsid w:val="00BB6033"/>
    <w:rsid w:val="00F30684"/>
    <w:rsid w:val="00F5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F0D6"/>
  <w15:chartTrackingRefBased/>
  <w15:docId w15:val="{F8C30331-4B65-4465-92FE-C48A677C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7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Russell</dc:creator>
  <cp:keywords/>
  <dc:description/>
  <cp:lastModifiedBy>rodrigo.moraes</cp:lastModifiedBy>
  <cp:revision>7</cp:revision>
  <dcterms:created xsi:type="dcterms:W3CDTF">2022-06-02T15:14:00Z</dcterms:created>
  <dcterms:modified xsi:type="dcterms:W3CDTF">2022-06-03T01:17:00Z</dcterms:modified>
</cp:coreProperties>
</file>