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</w:pPr>
      <w:r>
        <w:rPr>
          <w:rFonts w:ascii="Arial" w:cs="Arial" w:eastAsia="Arial" w:hAnsi="Arial"/>
          <w:b/>
          <w:bCs/>
          <w:color w:val="2d3a8c"/>
          <w:sz w:val="56"/>
          <w:szCs w:val="56"/>
        </w:rPr>
        <w:t xml:space="preserve">James AI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d3a8c"/>
          <w:sz w:val="40"/>
          <w:szCs w:val="40"/>
        </w:rPr>
        <w:t xml:space="preserve">Knowledge Base Structure</w:t>
      </w:r>
    </w:p>
    <w:p>
      <w:pPr>
        <w:pBdr>
          <w:bottom w:val="single" w:color="2d3a8c" w:sz="6" w:space="6"/>
        </w:pBdr>
        <w:spacing w:after="60" w:before="0"/>
      </w:pPr>
      <w:r>
        <w:rPr>
          <w:rFonts w:ascii="Arial" w:cs="Arial" w:eastAsia="Arial" w:hAnsi="Arial"/>
          <w:i/>
          <w:iCs/>
          <w:color w:val="8890a4"/>
          <w:sz w:val="22"/>
          <w:szCs w:val="22"/>
        </w:rPr>
        <w:t xml:space="preserve">BondScanner AI Assistant  ·  Content Architecture</w:t>
      </w:r>
    </w:p>
    <w:p>
      <w:pPr>
        <w:spacing w:after="0" w:before="12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document defines the knowledge base (KB) structure for James AI, BondScanner's SEBI-compliant AI assistant. All content should be authored following this structure and naming convention to ensure accurate RAG retrieval and response quality.</w:t>
      </w:r>
    </w:p>
    <w:p>
      <w:pPr>
        <w:pBdr>
          <w:bottom w:val="single" w:color="C5CCE8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d3a8c"/>
          <w:sz w:val="36"/>
          <w:szCs w:val="36"/>
        </w:rPr>
        <w:t xml:space="preserve">Naming Convention</w:t>
      </w:r>
    </w:p>
    <w:p>
      <w:pPr>
        <w:spacing w:after="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d3a8c"/>
          <w:sz w:val="22"/>
          <w:szCs w:val="22"/>
        </w:rPr>
        <w:t xml:space="preserve">Format</w:t>
      </w:r>
    </w:p>
    <w:p>
      <w:pPr>
        <w:pBdr>
          <w:left w:val="single" w:color="2d3a8c" w:sz="12" w:space="8"/>
        </w:pBdr>
        <w:shd w:fill="E8EBF7" w:val="clear"/>
        <w:spacing w:after="40" w:before="40"/>
        <w:ind w:left="200"/>
      </w:pPr>
      <w:r>
        <w:rPr>
          <w:rFonts w:ascii="Courier New" w:cs="Courier New" w:eastAsia="Courier New" w:hAnsi="Courier New"/>
          <w:b/>
          <w:bCs/>
          <w:color w:val="2d3a8c"/>
          <w:sz w:val="22"/>
          <w:szCs w:val="22"/>
        </w:rPr>
        <w:t xml:space="preserve">[CATEGORY-CODE]_[sequence]_[topic-slug].pdf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Example:  </w:t>
      </w:r>
      <w:r>
        <w:rPr>
          <w:rFonts w:ascii="Courier New" w:cs="Courier New" w:eastAsia="Courier New" w:hAnsi="Courier New"/>
          <w:color w:val="1a3a6e"/>
          <w:sz w:val="22"/>
          <w:szCs w:val="22"/>
        </w:rPr>
        <w:t xml:space="preserve">EDU_01_what-is-a-bond.pdf</w:t>
      </w:r>
    </w:p>
    <w:p>
      <w:pPr>
        <w:spacing w:after="0" w:before="100"/>
      </w:pPr>
      <w:r>
        <w:t xml:space="preserve"/>
      </w:r>
    </w:p>
    <w:p>
      <w:pPr>
        <w:pBdr>
          <w:bottom w:val="single" w:color="C5CCE8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d3a8c"/>
          <w:sz w:val="36"/>
          <w:szCs w:val="36"/>
        </w:rPr>
        <w:t xml:space="preserve">EDU — Bond Education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Educational content covering bond fundamentals, types, terminology, and comparisons. Primary source for investor education queries.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Coverage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e"/>
                <w:sz w:val="19"/>
                <w:szCs w:val="19"/>
              </w:rPr>
              <w:t xml:space="preserve">EDU_01_what-is-a-bond.pdf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Definition, how bonds work, issuer vs investor, face value, maturity, coupon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e"/>
                <w:sz w:val="19"/>
                <w:szCs w:val="19"/>
              </w:rPr>
              <w:t xml:space="preserve">EDU_02_bond-types.pdf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G-Sec, SDL, SGB, NCD, Corporate bonds, Tax-free bonds — explained simply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e"/>
                <w:sz w:val="19"/>
                <w:szCs w:val="19"/>
              </w:rPr>
              <w:t xml:space="preserve">EDU_03_bond-terminology.pdf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YTM, coupon rate, credit rating, ISIN, duration, accrued interest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e"/>
                <w:sz w:val="19"/>
                <w:szCs w:val="19"/>
              </w:rPr>
              <w:t xml:space="preserve">EDU_04_bonds-vs-fd.pdf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Comparison table, liquidity, returns, risk, tax treatment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e"/>
                <w:sz w:val="19"/>
                <w:szCs w:val="19"/>
              </w:rPr>
              <w:t xml:space="preserve">EDU_05_credit-ratings.pdf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AAA to D scale, CRISIL/ICRA/CARE, what ratings mean for risk &amp; yield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e"/>
                <w:sz w:val="19"/>
                <w:szCs w:val="19"/>
              </w:rPr>
              <w:t xml:space="preserve">EDU_06_risk-in-bonds.pdf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Credit risk, interest rate risk, liquidity risk, default history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e"/>
                <w:sz w:val="19"/>
                <w:szCs w:val="19"/>
              </w:rPr>
              <w:t xml:space="preserve">EDU_07_bond-returns.pdf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How to calculate YTM, coupon vs yield, reinvestment, tax impact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5CCE8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d3a8c"/>
          <w:sz w:val="36"/>
          <w:szCs w:val="36"/>
        </w:rPr>
        <w:t xml:space="preserve">PLT — BondScanner Platform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Platform-specific content covering features, onboarding, and account management. Primary source for all BondScanner how-to queries.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Coverage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e"/>
                <w:sz w:val="19"/>
                <w:szCs w:val="19"/>
              </w:rPr>
              <w:t xml:space="preserve">PLT_01_platform-overview.pdf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 BondScanner is, SEBI registration, OBPP, value proposition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e"/>
                <w:sz w:val="19"/>
                <w:szCs w:val="19"/>
              </w:rPr>
              <w:t xml:space="preserve">PLT_02_account-opening.pdf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Step-by-step signup, eligibility, documents needed, timeline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e"/>
                <w:sz w:val="19"/>
                <w:szCs w:val="19"/>
              </w:rPr>
              <w:t xml:space="preserve">PLT_03_kyc-process.pdf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KYC requirements, PAN, Aadhaar, bank account, demat linking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e"/>
                <w:sz w:val="19"/>
                <w:szCs w:val="19"/>
              </w:rPr>
              <w:t xml:space="preserve">PLT_04_bond-discovery.pdf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How to browse bonds, filters, what data is shown per bond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e"/>
                <w:sz w:val="19"/>
                <w:szCs w:val="19"/>
              </w:rPr>
              <w:t xml:space="preserve">PLT_05_family-accounts.pdf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 family accounts are, how to add members, permissions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e"/>
                <w:sz w:val="19"/>
                <w:szCs w:val="19"/>
              </w:rPr>
              <w:t xml:space="preserve">PLT_06_security-compliance.pdf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SEBI oversight, data security, fund safety, OBPP regulations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e"/>
                <w:sz w:val="19"/>
                <w:szCs w:val="19"/>
              </w:rPr>
              <w:t xml:space="preserve">PLT_07_support-escalation.pdf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How to reach support, response times, escalation paths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5CCE8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d3a8c"/>
          <w:sz w:val="36"/>
          <w:szCs w:val="36"/>
        </w:rPr>
        <w:t xml:space="preserve">INV — Investment Process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End-to-end investment workflow content. Covers buying, settlement, demat, and secondary market operations.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Coverage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e"/>
                <w:sz w:val="19"/>
                <w:szCs w:val="19"/>
              </w:rPr>
              <w:t xml:space="preserve">INV_01_how-to-buy-bonds.pdf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End-to-end buying flow on BondScanner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e"/>
                <w:sz w:val="19"/>
                <w:szCs w:val="19"/>
              </w:rPr>
              <w:t xml:space="preserve">INV_02_settlement.pdf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T+1/T+2, demat credits, NSDL/CDSL, what happens after purchase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e"/>
                <w:sz w:val="19"/>
                <w:szCs w:val="19"/>
              </w:rPr>
              <w:t xml:space="preserve">INV_03_demat-account.pdf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 a demat is, how it works with BondScanner, existing demat linking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e"/>
                <w:sz w:val="19"/>
                <w:szCs w:val="19"/>
              </w:rPr>
              <w:t xml:space="preserve">INV_04_order-types.pdf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 vs limit orders, minimum investment amounts, lot sizes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e"/>
                <w:sz w:val="19"/>
                <w:szCs w:val="19"/>
              </w:rPr>
              <w:t xml:space="preserve">INV_05_selling-bonds.pdf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Secondary market, how to exit, liquidity explained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5CCE8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d3a8c"/>
          <w:sz w:val="36"/>
          <w:szCs w:val="36"/>
        </w:rPr>
        <w:t xml:space="preserve">TAX — Tax &amp; Regulatory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Tax treatment of bond investments and SEBI regulatory context. Always pair with a disclaimer — James should escalate detailed tax queries to a CA.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Coverage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e"/>
                <w:sz w:val="19"/>
                <w:szCs w:val="19"/>
              </w:rPr>
              <w:t xml:space="preserve">TAX_01_tax-on-bonds.pdf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Interest income tax, LTCG/STCG, TDS on bonds, SGB tax exemption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e"/>
                <w:sz w:val="19"/>
                <w:szCs w:val="19"/>
              </w:rPr>
              <w:t xml:space="preserve">TAX_02_sgb-specifics.pdf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SGB tax benefits, capital gains exemption, interest taxability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e"/>
                <w:sz w:val="19"/>
                <w:szCs w:val="19"/>
              </w:rPr>
              <w:t xml:space="preserve">TAX_03_sebi-compliance.pdf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 SEBI OBPP registration means for investors, protections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5CCE8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d3a8c"/>
          <w:sz w:val="36"/>
          <w:szCs w:val="36"/>
        </w:rPr>
        <w:t xml:space="preserve">FAQ — Frequently Asked Questions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Curated Q&amp;A covering the most common investor questions. These should be authored as direct question-answer pairs for highest RAG retrieval accuracy.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Coverage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e"/>
                <w:sz w:val="19"/>
                <w:szCs w:val="19"/>
              </w:rPr>
              <w:t xml:space="preserve">FAQ_01_general.pdf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 20 most common questions with direct answers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e"/>
                <w:sz w:val="19"/>
                <w:szCs w:val="19"/>
              </w:rPr>
              <w:t xml:space="preserve">FAQ_02_platform.pdf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Platform-specific FAQs — login, orders, statements, issues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e"/>
                <w:sz w:val="19"/>
                <w:szCs w:val="19"/>
              </w:rPr>
              <w:t xml:space="preserve">FAQ_03_investment.pdf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Investment FAQs — minimum amount, lock-in, early exit, interest payout dates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5CCE8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d3a8c"/>
          <w:sz w:val="36"/>
          <w:szCs w:val="36"/>
        </w:rPr>
        <w:t xml:space="preserve">Summary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Total: 22 PDFs across 5 categories.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0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Bond Education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EDU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Investor education &amp; bond concepts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BondScanner Platform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Platform how-to &amp; onboarding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Investment Process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Buying, settlement &amp; secondary market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Tax &amp; Regulatory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Tax treatment &amp; SEBI compliance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Frequently Asked Questions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FAQ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High-frequency Q&amp;A pairs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5CCE8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d3a8c"/>
          <w:sz w:val="36"/>
          <w:szCs w:val="36"/>
        </w:rPr>
        <w:t xml:space="preserve">How It Works Technically</w:t>
      </w:r>
    </w:p>
    <w:p>
      <w:pPr>
        <w:spacing w:after="14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PDF is uploaded via the backend admin endpoint, chunked into 500-token segments with 50-token overlap, embedded using Google's Gemini embedding model (768 dimensions), and stored in Neon DB with pgvector. When a user asks James a question, the query is embedded and the top-5 most semantically similar chunks are retrieved and injected into Claude's system prompt as grounded context.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Upload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PDF uploaded via POST /kb/upload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Chunk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Split into 500-token chunks with 50-token overlap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Embed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Each chunk embedded via Gemini (768 dims)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Store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Stored in Neon DB documents table with pgvector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Retrieve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Top-5 similar chunks pulled on each user query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Inject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Chunks injected into Claude system prompt as context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Respond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Claude answers grounded in KB content</w:t>
            </w:r>
          </w:p>
        </w:tc>
      </w:tr>
    </w:tbl>
    <w:p>
      <w:pPr>
        <w:spacing w:after="0" w:before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CCE8" w:sz="2" w:space="4"/>
      </w:pBdr>
      <w:jc w:val="center"/>
    </w:pPr>
    <w:r>
      <w:rPr>
        <w:rFonts w:ascii="Arial" w:cs="Arial" w:eastAsia="Arial" w:hAnsi="Arial"/>
        <w:color w:val="8890a4"/>
        <w:sz w:val="18"/>
        <w:szCs w:val="18"/>
      </w:rPr>
      <w:t xml:space="preserve">Document generated for internal use — BondScanner / James AI team     |     Page </w:t>
    </w:r>
    <w:r>
      <w:rPr>
        <w:rFonts w:ascii="Arial" w:cs="Arial" w:eastAsia="Arial" w:hAnsi="Arial"/>
        <w:color w:val="8890a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CCE8" w:sz="2" w:space="4"/>
      </w:pBdr>
      <w:jc w:val="right"/>
    </w:pPr>
    <w:r>
      <w:rPr>
        <w:rFonts w:ascii="Arial" w:cs="Arial" w:eastAsia="Arial" w:hAnsi="Arial"/>
        <w:i/>
        <w:iCs/>
        <w:color w:val="8890a4"/>
        <w:sz w:val="18"/>
        <w:szCs w:val="18"/>
      </w:rPr>
      <w:t xml:space="preserve">James AI — Knowledge Base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2026-04-10T12:23:57.623Z</dcterms:created>
  <dcterms:modified xsi:type="dcterms:W3CDTF">2026-04-10T12:23:57.624Z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