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1222A" w14:textId="4F22BBED" w:rsidR="009C4DBF" w:rsidRPr="00191A82" w:rsidRDefault="00193B3C">
      <w:pPr>
        <w:rPr>
          <w:rFonts w:ascii="Times New Roman" w:hAnsi="Times New Roman" w:cs="Times New Roman"/>
        </w:rPr>
      </w:pPr>
      <w:r w:rsidRPr="00191A82">
        <w:rPr>
          <w:rFonts w:ascii="Times New Roman" w:hAnsi="Times New Roman" w:cs="Times New Roman"/>
          <w:b/>
          <w:sz w:val="20"/>
        </w:rPr>
        <w:t xml:space="preserve">Table </w:t>
      </w:r>
      <w:r w:rsidR="00191A82" w:rsidRPr="00191A82">
        <w:rPr>
          <w:rFonts w:ascii="Times New Roman" w:hAnsi="Times New Roman" w:cs="Times New Roman"/>
          <w:b/>
          <w:sz w:val="20"/>
        </w:rPr>
        <w:t>1</w:t>
      </w:r>
      <w:r w:rsidRPr="00191A82">
        <w:rPr>
          <w:rFonts w:ascii="Times New Roman" w:hAnsi="Times New Roman" w:cs="Times New Roman"/>
          <w:b/>
          <w:sz w:val="20"/>
        </w:rPr>
        <w:t xml:space="preserve">. GRADE </w:t>
      </w:r>
      <w:r w:rsidR="003E536E">
        <w:rPr>
          <w:rFonts w:ascii="Times New Roman" w:hAnsi="Times New Roman" w:cs="Times New Roman"/>
          <w:b/>
          <w:sz w:val="20"/>
        </w:rPr>
        <w:t>S</w:t>
      </w:r>
      <w:r w:rsidRPr="00191A82">
        <w:rPr>
          <w:rFonts w:ascii="Times New Roman" w:hAnsi="Times New Roman" w:cs="Times New Roman"/>
          <w:b/>
          <w:sz w:val="20"/>
        </w:rPr>
        <w:t xml:space="preserve">ummary of </w:t>
      </w:r>
      <w:r w:rsidR="003E536E">
        <w:rPr>
          <w:rFonts w:ascii="Times New Roman" w:hAnsi="Times New Roman" w:cs="Times New Roman"/>
          <w:b/>
          <w:sz w:val="20"/>
        </w:rPr>
        <w:t>F</w:t>
      </w:r>
      <w:r w:rsidRPr="00191A82">
        <w:rPr>
          <w:rFonts w:ascii="Times New Roman" w:hAnsi="Times New Roman" w:cs="Times New Roman"/>
          <w:b/>
          <w:sz w:val="20"/>
        </w:rPr>
        <w:t xml:space="preserve">indings </w:t>
      </w:r>
      <w:r w:rsidR="00191A82">
        <w:rPr>
          <w:rFonts w:ascii="Times New Roman" w:hAnsi="Times New Roman" w:cs="Times New Roman"/>
          <w:b/>
          <w:sz w:val="20"/>
        </w:rPr>
        <w:t xml:space="preserve">for </w:t>
      </w:r>
      <w:r w:rsidR="003E536E">
        <w:rPr>
          <w:rFonts w:ascii="Times New Roman" w:hAnsi="Times New Roman" w:cs="Times New Roman"/>
          <w:b/>
          <w:sz w:val="20"/>
        </w:rPr>
        <w:t>P</w:t>
      </w:r>
      <w:r w:rsidRPr="00191A82">
        <w:rPr>
          <w:rFonts w:ascii="Times New Roman" w:hAnsi="Times New Roman" w:cs="Times New Roman"/>
          <w:b/>
          <w:sz w:val="20"/>
        </w:rPr>
        <w:t xml:space="preserve">ost-insertion </w:t>
      </w:r>
      <w:r w:rsidR="003E536E">
        <w:rPr>
          <w:rFonts w:ascii="Times New Roman" w:hAnsi="Times New Roman" w:cs="Times New Roman"/>
          <w:b/>
          <w:sz w:val="20"/>
        </w:rPr>
        <w:t>O</w:t>
      </w:r>
      <w:r w:rsidRPr="00191A82">
        <w:rPr>
          <w:rFonts w:ascii="Times New Roman" w:hAnsi="Times New Roman" w:cs="Times New Roman"/>
          <w:b/>
          <w:sz w:val="20"/>
        </w:rPr>
        <w:t xml:space="preserve">utcomes of </w:t>
      </w:r>
      <w:r w:rsidR="003E536E">
        <w:rPr>
          <w:rFonts w:ascii="Times New Roman" w:hAnsi="Times New Roman" w:cs="Times New Roman"/>
          <w:b/>
          <w:sz w:val="20"/>
        </w:rPr>
        <w:t>U</w:t>
      </w:r>
      <w:r w:rsidRPr="00191A82">
        <w:rPr>
          <w:rFonts w:ascii="Times New Roman" w:hAnsi="Times New Roman" w:cs="Times New Roman"/>
          <w:b/>
          <w:sz w:val="20"/>
        </w:rPr>
        <w:t xml:space="preserve">ltrasound-guided </w:t>
      </w:r>
      <w:r w:rsidR="003E536E">
        <w:rPr>
          <w:rFonts w:ascii="Times New Roman" w:hAnsi="Times New Roman" w:cs="Times New Roman"/>
          <w:b/>
          <w:sz w:val="20"/>
        </w:rPr>
        <w:t>V</w:t>
      </w:r>
      <w:r w:rsidRPr="00191A82">
        <w:rPr>
          <w:rFonts w:ascii="Times New Roman" w:hAnsi="Times New Roman" w:cs="Times New Roman"/>
          <w:b/>
          <w:sz w:val="20"/>
        </w:rPr>
        <w:t xml:space="preserve">ersus </w:t>
      </w:r>
      <w:r w:rsidR="003E536E">
        <w:rPr>
          <w:rFonts w:ascii="Times New Roman" w:hAnsi="Times New Roman" w:cs="Times New Roman"/>
          <w:b/>
          <w:sz w:val="20"/>
        </w:rPr>
        <w:t>L</w:t>
      </w:r>
      <w:r w:rsidRPr="00191A82">
        <w:rPr>
          <w:rFonts w:ascii="Times New Roman" w:hAnsi="Times New Roman" w:cs="Times New Roman"/>
          <w:b/>
          <w:sz w:val="20"/>
        </w:rPr>
        <w:t xml:space="preserve">andmark </w:t>
      </w:r>
      <w:r w:rsidR="003E536E">
        <w:rPr>
          <w:rFonts w:ascii="Times New Roman" w:hAnsi="Times New Roman" w:cs="Times New Roman"/>
          <w:b/>
          <w:sz w:val="20"/>
        </w:rPr>
        <w:t>P</w:t>
      </w:r>
      <w:r w:rsidRPr="00191A82">
        <w:rPr>
          <w:rFonts w:ascii="Times New Roman" w:hAnsi="Times New Roman" w:cs="Times New Roman"/>
          <w:b/>
          <w:sz w:val="20"/>
        </w:rPr>
        <w:t xml:space="preserve">eripheral </w:t>
      </w:r>
      <w:r w:rsidR="003E536E">
        <w:rPr>
          <w:rFonts w:ascii="Times New Roman" w:hAnsi="Times New Roman" w:cs="Times New Roman"/>
          <w:b/>
          <w:sz w:val="20"/>
        </w:rPr>
        <w:t>I</w:t>
      </w:r>
      <w:r w:rsidRPr="00191A82">
        <w:rPr>
          <w:rFonts w:ascii="Times New Roman" w:hAnsi="Times New Roman" w:cs="Times New Roman"/>
          <w:b/>
          <w:sz w:val="20"/>
        </w:rPr>
        <w:t xml:space="preserve">ntravenous </w:t>
      </w:r>
      <w:r w:rsidR="003E536E">
        <w:rPr>
          <w:rFonts w:ascii="Times New Roman" w:hAnsi="Times New Roman" w:cs="Times New Roman"/>
          <w:b/>
          <w:sz w:val="20"/>
        </w:rPr>
        <w:t>C</w:t>
      </w:r>
      <w:r w:rsidRPr="00191A82">
        <w:rPr>
          <w:rFonts w:ascii="Times New Roman" w:hAnsi="Times New Roman" w:cs="Times New Roman"/>
          <w:b/>
          <w:sz w:val="20"/>
        </w:rPr>
        <w:t>atheters</w:t>
      </w:r>
    </w:p>
    <w:tbl>
      <w:tblPr>
        <w:tblStyle w:val="aff2"/>
        <w:tblW w:w="0" w:type="auto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C4DBF" w:rsidRPr="00191A82" w14:paraId="79E2410B" w14:textId="77777777">
        <w:trPr>
          <w:cantSplit/>
          <w:tblHeader/>
        </w:trPr>
        <w:tc>
          <w:tcPr>
            <w:tcW w:w="1440" w:type="dxa"/>
          </w:tcPr>
          <w:p w14:paraId="6A785FB3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b/>
                <w:sz w:val="16"/>
              </w:rPr>
              <w:t>Outcome</w:t>
            </w:r>
          </w:p>
        </w:tc>
        <w:tc>
          <w:tcPr>
            <w:tcW w:w="1440" w:type="dxa"/>
          </w:tcPr>
          <w:p w14:paraId="26FC49F1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b/>
                <w:sz w:val="16"/>
              </w:rPr>
              <w:t>No. of studies (design)</w:t>
            </w:r>
          </w:p>
        </w:tc>
        <w:tc>
          <w:tcPr>
            <w:tcW w:w="1440" w:type="dxa"/>
          </w:tcPr>
          <w:p w14:paraId="37AD7C51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b/>
                <w:sz w:val="16"/>
              </w:rPr>
              <w:t>Participants</w:t>
            </w:r>
          </w:p>
        </w:tc>
        <w:tc>
          <w:tcPr>
            <w:tcW w:w="1440" w:type="dxa"/>
          </w:tcPr>
          <w:p w14:paraId="1586FA22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b/>
                <w:sz w:val="16"/>
              </w:rPr>
              <w:t>Effect (USG vs landmark)</w:t>
            </w:r>
          </w:p>
        </w:tc>
        <w:tc>
          <w:tcPr>
            <w:tcW w:w="1440" w:type="dxa"/>
          </w:tcPr>
          <w:p w14:paraId="7636A17F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b/>
                <w:sz w:val="16"/>
              </w:rPr>
              <w:t>Certainty (GRADE)</w:t>
            </w:r>
          </w:p>
        </w:tc>
        <w:tc>
          <w:tcPr>
            <w:tcW w:w="1440" w:type="dxa"/>
          </w:tcPr>
          <w:p w14:paraId="28DE795A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b/>
                <w:sz w:val="16"/>
              </w:rPr>
              <w:t>Reasons for downgrading</w:t>
            </w:r>
          </w:p>
        </w:tc>
      </w:tr>
      <w:tr w:rsidR="009C4DBF" w:rsidRPr="00191A82" w14:paraId="6F2D5276" w14:textId="77777777">
        <w:trPr>
          <w:cantSplit/>
        </w:trPr>
        <w:tc>
          <w:tcPr>
            <w:tcW w:w="1440" w:type="dxa"/>
          </w:tcPr>
          <w:p w14:paraId="77E62A8B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Catheter failure</w:t>
            </w:r>
          </w:p>
        </w:tc>
        <w:tc>
          <w:tcPr>
            <w:tcW w:w="1440" w:type="dxa"/>
          </w:tcPr>
          <w:p w14:paraId="53FB17E5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4 (2 RCTs, 2 cohorts)</w:t>
            </w:r>
          </w:p>
        </w:tc>
        <w:tc>
          <w:tcPr>
            <w:tcW w:w="1440" w:type="dxa"/>
          </w:tcPr>
          <w:p w14:paraId="62D0A0B4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3,404</w:t>
            </w:r>
          </w:p>
        </w:tc>
        <w:tc>
          <w:tcPr>
            <w:tcW w:w="1440" w:type="dxa"/>
          </w:tcPr>
          <w:p w14:paraId="78B20489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RR 1.23 (95% CI 1.00–1.51)</w:t>
            </w:r>
          </w:p>
        </w:tc>
        <w:tc>
          <w:tcPr>
            <w:tcW w:w="1440" w:type="dxa"/>
          </w:tcPr>
          <w:p w14:paraId="6064F23B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新細明體" w:eastAsia="新細明體" w:hAnsi="新細明體" w:cs="新細明體" w:hint="eastAsia"/>
                <w:sz w:val="16"/>
              </w:rPr>
              <w:t>⊕⊕</w:t>
            </w:r>
            <w:r w:rsidRPr="00191A82">
              <w:rPr>
                <w:rFonts w:ascii="MS Mincho" w:eastAsia="MS Mincho" w:hAnsi="MS Mincho" w:cs="MS Mincho" w:hint="eastAsia"/>
                <w:sz w:val="16"/>
              </w:rPr>
              <w:t>◯◯</w:t>
            </w:r>
            <w:r w:rsidRPr="00191A82">
              <w:rPr>
                <w:rFonts w:ascii="Times New Roman" w:hAnsi="Times New Roman" w:cs="Times New Roman"/>
                <w:sz w:val="16"/>
              </w:rPr>
              <w:t xml:space="preserve"> Low</w:t>
            </w:r>
          </w:p>
        </w:tc>
        <w:tc>
          <w:tcPr>
            <w:tcW w:w="1440" w:type="dxa"/>
          </w:tcPr>
          <w:p w14:paraId="1BADA205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Risk of bias; imprecision</w:t>
            </w:r>
          </w:p>
        </w:tc>
      </w:tr>
      <w:tr w:rsidR="009C4DBF" w:rsidRPr="00191A82" w14:paraId="29ACA0DD" w14:textId="77777777">
        <w:trPr>
          <w:cantSplit/>
        </w:trPr>
        <w:tc>
          <w:tcPr>
            <w:tcW w:w="1440" w:type="dxa"/>
          </w:tcPr>
          <w:p w14:paraId="38C15EFF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Dwell time</w:t>
            </w:r>
          </w:p>
        </w:tc>
        <w:tc>
          <w:tcPr>
            <w:tcW w:w="1440" w:type="dxa"/>
          </w:tcPr>
          <w:p w14:paraId="6D66264A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3 (2 RCTs, 1 cohort)</w:t>
            </w:r>
          </w:p>
        </w:tc>
        <w:tc>
          <w:tcPr>
            <w:tcW w:w="1440" w:type="dxa"/>
          </w:tcPr>
          <w:p w14:paraId="02D7D3EE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929</w:t>
            </w:r>
          </w:p>
        </w:tc>
        <w:tc>
          <w:tcPr>
            <w:tcW w:w="1440" w:type="dxa"/>
          </w:tcPr>
          <w:p w14:paraId="2CEA0C6E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Not pooled (I² = 91.9%); individual estimates conflicting</w:t>
            </w:r>
          </w:p>
        </w:tc>
        <w:tc>
          <w:tcPr>
            <w:tcW w:w="1440" w:type="dxa"/>
          </w:tcPr>
          <w:p w14:paraId="29EBAFEE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新細明體" w:eastAsia="新細明體" w:hAnsi="新細明體" w:cs="新細明體" w:hint="eastAsia"/>
                <w:sz w:val="16"/>
              </w:rPr>
              <w:t>⊕</w:t>
            </w:r>
            <w:r w:rsidRPr="00191A82">
              <w:rPr>
                <w:rFonts w:ascii="MS Mincho" w:eastAsia="MS Mincho" w:hAnsi="MS Mincho" w:cs="MS Mincho" w:hint="eastAsia"/>
                <w:sz w:val="16"/>
              </w:rPr>
              <w:t>◯◯◯</w:t>
            </w:r>
            <w:r w:rsidRPr="00191A82">
              <w:rPr>
                <w:rFonts w:ascii="Times New Roman" w:hAnsi="Times New Roman" w:cs="Times New Roman"/>
                <w:sz w:val="16"/>
              </w:rPr>
              <w:t xml:space="preserve"> Very low</w:t>
            </w:r>
          </w:p>
        </w:tc>
        <w:tc>
          <w:tcPr>
            <w:tcW w:w="1440" w:type="dxa"/>
          </w:tcPr>
          <w:p w14:paraId="51C91161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Inconsistency (extreme); risk of bias; imprecision</w:t>
            </w:r>
          </w:p>
        </w:tc>
      </w:tr>
      <w:tr w:rsidR="009C4DBF" w:rsidRPr="00191A82" w14:paraId="714579D2" w14:textId="77777777">
        <w:trPr>
          <w:cantSplit/>
        </w:trPr>
        <w:tc>
          <w:tcPr>
            <w:tcW w:w="1440" w:type="dxa"/>
          </w:tcPr>
          <w:p w14:paraId="5EA403F8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Infiltration</w:t>
            </w:r>
          </w:p>
        </w:tc>
        <w:tc>
          <w:tcPr>
            <w:tcW w:w="1440" w:type="dxa"/>
          </w:tcPr>
          <w:p w14:paraId="55391816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3 (2 RCTs, 1 cohort)</w:t>
            </w:r>
          </w:p>
        </w:tc>
        <w:tc>
          <w:tcPr>
            <w:tcW w:w="1440" w:type="dxa"/>
          </w:tcPr>
          <w:p w14:paraId="0A5DD96A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3,117</w:t>
            </w:r>
          </w:p>
        </w:tc>
        <w:tc>
          <w:tcPr>
            <w:tcW w:w="1440" w:type="dxa"/>
          </w:tcPr>
          <w:p w14:paraId="4D6A6DAE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RR 1.30 (95% CI 0.82–2.05)</w:t>
            </w:r>
          </w:p>
        </w:tc>
        <w:tc>
          <w:tcPr>
            <w:tcW w:w="1440" w:type="dxa"/>
          </w:tcPr>
          <w:p w14:paraId="06FE9291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新細明體" w:eastAsia="新細明體" w:hAnsi="新細明體" w:cs="新細明體" w:hint="eastAsia"/>
                <w:sz w:val="16"/>
              </w:rPr>
              <w:t>⊕</w:t>
            </w:r>
            <w:r w:rsidRPr="00191A82">
              <w:rPr>
                <w:rFonts w:ascii="MS Mincho" w:eastAsia="MS Mincho" w:hAnsi="MS Mincho" w:cs="MS Mincho" w:hint="eastAsia"/>
                <w:sz w:val="16"/>
              </w:rPr>
              <w:t>◯◯◯</w:t>
            </w:r>
            <w:r w:rsidRPr="00191A82">
              <w:rPr>
                <w:rFonts w:ascii="Times New Roman" w:hAnsi="Times New Roman" w:cs="Times New Roman"/>
                <w:sz w:val="16"/>
              </w:rPr>
              <w:t xml:space="preserve"> Very low</w:t>
            </w:r>
          </w:p>
        </w:tc>
        <w:tc>
          <w:tcPr>
            <w:tcW w:w="1440" w:type="dxa"/>
          </w:tcPr>
          <w:p w14:paraId="6F497CCB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Risk of bias (incl. differential ascertainment in 1 RCT); imprecision</w:t>
            </w:r>
          </w:p>
        </w:tc>
      </w:tr>
      <w:tr w:rsidR="009C4DBF" w:rsidRPr="00191A82" w14:paraId="16152754" w14:textId="77777777">
        <w:trPr>
          <w:cantSplit/>
        </w:trPr>
        <w:tc>
          <w:tcPr>
            <w:tcW w:w="1440" w:type="dxa"/>
          </w:tcPr>
          <w:p w14:paraId="115F53B8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Extravasation</w:t>
            </w:r>
          </w:p>
        </w:tc>
        <w:tc>
          <w:tcPr>
            <w:tcW w:w="1440" w:type="dxa"/>
          </w:tcPr>
          <w:p w14:paraId="111B7903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3 (2 RCTs, 1 cohort)</w:t>
            </w:r>
          </w:p>
        </w:tc>
        <w:tc>
          <w:tcPr>
            <w:tcW w:w="1440" w:type="dxa"/>
          </w:tcPr>
          <w:p w14:paraId="65FE2049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29,682</w:t>
            </w:r>
          </w:p>
        </w:tc>
        <w:tc>
          <w:tcPr>
            <w:tcW w:w="1440" w:type="dxa"/>
          </w:tcPr>
          <w:p w14:paraId="61297333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Not pooled (I² = 95.7%); directionally inconsistent</w:t>
            </w:r>
          </w:p>
        </w:tc>
        <w:tc>
          <w:tcPr>
            <w:tcW w:w="1440" w:type="dxa"/>
          </w:tcPr>
          <w:p w14:paraId="0E354DD6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新細明體" w:eastAsia="新細明體" w:hAnsi="新細明體" w:cs="新細明體" w:hint="eastAsia"/>
                <w:sz w:val="16"/>
              </w:rPr>
              <w:t>⊕</w:t>
            </w:r>
            <w:r w:rsidRPr="00191A82">
              <w:rPr>
                <w:rFonts w:ascii="MS Mincho" w:eastAsia="MS Mincho" w:hAnsi="MS Mincho" w:cs="MS Mincho" w:hint="eastAsia"/>
                <w:sz w:val="16"/>
              </w:rPr>
              <w:t>◯◯◯</w:t>
            </w:r>
            <w:r w:rsidRPr="00191A82">
              <w:rPr>
                <w:rFonts w:ascii="Times New Roman" w:hAnsi="Times New Roman" w:cs="Times New Roman"/>
                <w:sz w:val="16"/>
              </w:rPr>
              <w:t xml:space="preserve"> Very low</w:t>
            </w:r>
          </w:p>
        </w:tc>
        <w:tc>
          <w:tcPr>
            <w:tcW w:w="1440" w:type="dxa"/>
          </w:tcPr>
          <w:p w14:paraId="2DF7CA35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Inconsistency (extreme); risk of bias; indirectness</w:t>
            </w:r>
          </w:p>
        </w:tc>
      </w:tr>
      <w:tr w:rsidR="009C4DBF" w:rsidRPr="00191A82" w14:paraId="02E0454D" w14:textId="77777777">
        <w:trPr>
          <w:cantSplit/>
        </w:trPr>
        <w:tc>
          <w:tcPr>
            <w:tcW w:w="1440" w:type="dxa"/>
          </w:tcPr>
          <w:p w14:paraId="44926D59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Time-to-event–adjacent</w:t>
            </w:r>
          </w:p>
        </w:tc>
        <w:tc>
          <w:tcPr>
            <w:tcW w:w="1440" w:type="dxa"/>
          </w:tcPr>
          <w:p w14:paraId="4079D323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2 (2 cohorts)</w:t>
            </w:r>
          </w:p>
        </w:tc>
        <w:tc>
          <w:tcPr>
            <w:tcW w:w="1440" w:type="dxa"/>
          </w:tcPr>
          <w:p w14:paraId="1CA5BD75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43,800</w:t>
            </w:r>
          </w:p>
        </w:tc>
        <w:tc>
          <w:tcPr>
            <w:tcW w:w="1440" w:type="dxa"/>
          </w:tcPr>
          <w:p w14:paraId="1D61FFE2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Not pooled — Feinsmith adjusted HR 0.91 (0.87–0.95); Shokoohi 72-h RR 1.26 (0.88–1.80)</w:t>
            </w:r>
          </w:p>
        </w:tc>
        <w:tc>
          <w:tcPr>
            <w:tcW w:w="1440" w:type="dxa"/>
          </w:tcPr>
          <w:p w14:paraId="53A2346D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新細明體" w:eastAsia="新細明體" w:hAnsi="新細明體" w:cs="新細明體" w:hint="eastAsia"/>
                <w:sz w:val="16"/>
              </w:rPr>
              <w:t>⊕</w:t>
            </w:r>
            <w:r w:rsidRPr="00191A82">
              <w:rPr>
                <w:rFonts w:ascii="MS Mincho" w:eastAsia="MS Mincho" w:hAnsi="MS Mincho" w:cs="MS Mincho" w:hint="eastAsia"/>
                <w:sz w:val="16"/>
              </w:rPr>
              <w:t>◯◯◯</w:t>
            </w:r>
            <w:r w:rsidRPr="00191A82">
              <w:rPr>
                <w:rFonts w:ascii="Times New Roman" w:hAnsi="Times New Roman" w:cs="Times New Roman"/>
                <w:sz w:val="16"/>
              </w:rPr>
              <w:t xml:space="preserve"> Very low</w:t>
            </w:r>
          </w:p>
        </w:tc>
        <w:tc>
          <w:tcPr>
            <w:tcW w:w="1440" w:type="dxa"/>
          </w:tcPr>
          <w:p w14:paraId="10C223B3" w14:textId="77777777" w:rsidR="009C4DBF" w:rsidRPr="00191A82" w:rsidRDefault="00193B3C">
            <w:pPr>
              <w:rPr>
                <w:rFonts w:ascii="Times New Roman" w:hAnsi="Times New Roman" w:cs="Times New Roman"/>
              </w:rPr>
            </w:pPr>
            <w:r w:rsidRPr="00191A82">
              <w:rPr>
                <w:rFonts w:ascii="Times New Roman" w:hAnsi="Times New Roman" w:cs="Times New Roman"/>
                <w:sz w:val="16"/>
              </w:rPr>
              <w:t>Different effect measures (HR vs RR); risk of bias; conflicting directions; imprecision</w:t>
            </w:r>
          </w:p>
        </w:tc>
      </w:tr>
    </w:tbl>
    <w:p w14:paraId="70CF4215" w14:textId="77777777" w:rsidR="009C4DBF" w:rsidRPr="00191A82" w:rsidRDefault="00193B3C">
      <w:pPr>
        <w:rPr>
          <w:rFonts w:ascii="Times New Roman" w:hAnsi="Times New Roman" w:cs="Times New Roman"/>
        </w:rPr>
      </w:pPr>
      <w:r w:rsidRPr="00191A82">
        <w:rPr>
          <w:rFonts w:ascii="Times New Roman" w:hAnsi="Times New Roman" w:cs="Times New Roman"/>
          <w:i/>
          <w:sz w:val="16"/>
        </w:rPr>
        <w:t xml:space="preserve">RR &gt; 1 indicates a higher event rate (worse outcome) with ultrasound guidance. GRADE certainty: </w:t>
      </w:r>
      <w:r w:rsidRPr="00191A82">
        <w:rPr>
          <w:rFonts w:ascii="新細明體" w:eastAsia="新細明體" w:hAnsi="新細明體" w:cs="新細明體" w:hint="eastAsia"/>
          <w:i/>
          <w:sz w:val="16"/>
        </w:rPr>
        <w:t>⊕⊕⊕⊕</w:t>
      </w:r>
      <w:r w:rsidRPr="00191A82">
        <w:rPr>
          <w:rFonts w:ascii="Times New Roman" w:hAnsi="Times New Roman" w:cs="Times New Roman"/>
          <w:i/>
          <w:sz w:val="16"/>
        </w:rPr>
        <w:t xml:space="preserve"> High, </w:t>
      </w:r>
      <w:r w:rsidRPr="00191A82">
        <w:rPr>
          <w:rFonts w:ascii="新細明體" w:eastAsia="新細明體" w:hAnsi="新細明體" w:cs="新細明體" w:hint="eastAsia"/>
          <w:i/>
          <w:sz w:val="16"/>
        </w:rPr>
        <w:t>⊕⊕⊕</w:t>
      </w:r>
      <w:r w:rsidRPr="00191A82">
        <w:rPr>
          <w:rFonts w:ascii="MS Mincho" w:eastAsia="MS Mincho" w:hAnsi="MS Mincho" w:cs="MS Mincho" w:hint="eastAsia"/>
          <w:i/>
          <w:sz w:val="16"/>
        </w:rPr>
        <w:t>◯</w:t>
      </w:r>
      <w:r w:rsidRPr="00191A82">
        <w:rPr>
          <w:rFonts w:ascii="Times New Roman" w:hAnsi="Times New Roman" w:cs="Times New Roman"/>
          <w:i/>
          <w:sz w:val="16"/>
        </w:rPr>
        <w:t xml:space="preserve"> Moderate, </w:t>
      </w:r>
      <w:r w:rsidRPr="00191A82">
        <w:rPr>
          <w:rFonts w:ascii="新細明體" w:eastAsia="新細明體" w:hAnsi="新細明體" w:cs="新細明體" w:hint="eastAsia"/>
          <w:i/>
          <w:sz w:val="16"/>
        </w:rPr>
        <w:t>⊕⊕</w:t>
      </w:r>
      <w:r w:rsidRPr="00191A82">
        <w:rPr>
          <w:rFonts w:ascii="MS Mincho" w:eastAsia="MS Mincho" w:hAnsi="MS Mincho" w:cs="MS Mincho" w:hint="eastAsia"/>
          <w:i/>
          <w:sz w:val="16"/>
        </w:rPr>
        <w:t>◯◯</w:t>
      </w:r>
      <w:r w:rsidRPr="00191A82">
        <w:rPr>
          <w:rFonts w:ascii="Times New Roman" w:hAnsi="Times New Roman" w:cs="Times New Roman"/>
          <w:i/>
          <w:sz w:val="16"/>
        </w:rPr>
        <w:t xml:space="preserve"> Low, </w:t>
      </w:r>
      <w:r w:rsidRPr="00191A82">
        <w:rPr>
          <w:rFonts w:ascii="新細明體" w:eastAsia="新細明體" w:hAnsi="新細明體" w:cs="新細明體" w:hint="eastAsia"/>
          <w:i/>
          <w:sz w:val="16"/>
        </w:rPr>
        <w:t>⊕</w:t>
      </w:r>
      <w:r w:rsidRPr="00191A82">
        <w:rPr>
          <w:rFonts w:ascii="MS Mincho" w:eastAsia="MS Mincho" w:hAnsi="MS Mincho" w:cs="MS Mincho" w:hint="eastAsia"/>
          <w:i/>
          <w:sz w:val="16"/>
        </w:rPr>
        <w:t>◯◯◯</w:t>
      </w:r>
      <w:r w:rsidRPr="00191A82">
        <w:rPr>
          <w:rFonts w:ascii="Times New Roman" w:hAnsi="Times New Roman" w:cs="Times New Roman"/>
          <w:i/>
          <w:sz w:val="16"/>
        </w:rPr>
        <w:t xml:space="preserve"> Very low. Certainty was rated per outcome using the GRADE approach (risk of bias, inconsistency, indirectness, imprecision, publication bias); observational cohorts started at low certainty. Publication bias could not be formally assessed (fewer than 10 studies per outcome).</w:t>
      </w:r>
    </w:p>
    <w:sectPr w:rsidR="009C4DBF" w:rsidRPr="00191A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8B7F4" w14:textId="77777777" w:rsidR="00C92A17" w:rsidRDefault="00C92A17" w:rsidP="00191A82">
      <w:pPr>
        <w:spacing w:after="0" w:line="240" w:lineRule="auto"/>
      </w:pPr>
      <w:r>
        <w:separator/>
      </w:r>
    </w:p>
  </w:endnote>
  <w:endnote w:type="continuationSeparator" w:id="0">
    <w:p w14:paraId="35A103A2" w14:textId="77777777" w:rsidR="00C92A17" w:rsidRDefault="00C92A17" w:rsidP="00191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CDD25" w14:textId="77777777" w:rsidR="00C92A17" w:rsidRDefault="00C92A17" w:rsidP="00191A82">
      <w:pPr>
        <w:spacing w:after="0" w:line="240" w:lineRule="auto"/>
      </w:pPr>
      <w:r>
        <w:separator/>
      </w:r>
    </w:p>
  </w:footnote>
  <w:footnote w:type="continuationSeparator" w:id="0">
    <w:p w14:paraId="20848D9F" w14:textId="77777777" w:rsidR="00C92A17" w:rsidRDefault="00C92A17" w:rsidP="00191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A82"/>
    <w:rsid w:val="00193B3C"/>
    <w:rsid w:val="0029639D"/>
    <w:rsid w:val="00326F90"/>
    <w:rsid w:val="003E536E"/>
    <w:rsid w:val="00585202"/>
    <w:rsid w:val="009C4DBF"/>
    <w:rsid w:val="00AA1D8D"/>
    <w:rsid w:val="00B47730"/>
    <w:rsid w:val="00C92A17"/>
    <w:rsid w:val="00CB0664"/>
    <w:rsid w:val="00F517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29512A3"/>
  <w14:defaultImageDpi w14:val="300"/>
  <w15:docId w15:val="{228D2CA0-1926-4523-BE97-555A3FDB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陳柏銘</cp:lastModifiedBy>
  <cp:revision>5</cp:revision>
  <dcterms:created xsi:type="dcterms:W3CDTF">2013-12-23T23:15:00Z</dcterms:created>
  <dcterms:modified xsi:type="dcterms:W3CDTF">2026-06-09T05:57:00Z</dcterms:modified>
  <cp:category/>
</cp:coreProperties>
</file>