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 3. GRADE Summary of Findings — post-insertion outcomes of ultrasound-guided versus landmark peripheral intravenous catheters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36" w:type="dxa"/>
          <w:bottom w:w="36" w:type="dxa"/>
          <w:start w:w="36" w:type="dxa"/>
          <w:end w:w="36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Outcome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No. of studies (design)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Participants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Effect (USG vs landmark)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Certainty (GRADE)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Reasons for downgrading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sz w:val="16"/>
              </w:rPr>
              <w:t>Catheter failure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 (2 RCTs, 2 cohorts)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3,404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RR 1.23 (95% CI 1.00–1.51)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⊕⊕◯◯ Low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Risk of bias; imprecision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sz w:val="16"/>
              </w:rPr>
              <w:t>Dwell time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 (2 RCTs, 1 cohort)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929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Not pooled (I² = 91.9%); individual estimates conflicting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⊕◯◯◯ Very low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Inconsistency (extreme); risk of bias; imprecision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sz w:val="16"/>
              </w:rPr>
              <w:t>Infiltration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 (2 RCTs, 1 cohort)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3,117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RR 1.30 (95% CI 0.82–2.05)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⊕◯◯◯ Very low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Risk of bias (incl. differential ascertainment in 1 RCT); imprecision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sz w:val="16"/>
              </w:rPr>
              <w:t>Extravasation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 (2 RCTs, 1 cohort)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29,682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Not pooled (I² = 95.7%); directionally inconsistent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⊕◯◯◯ Very low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Inconsistency (extreme); risk of bias; indirectness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sz w:val="16"/>
              </w:rPr>
              <w:t>Time-to-event–adjacent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 (2 cohorts)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43,800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Not pooled — Feinsmith adjusted HR 0.91 (0.87–0.95); Shokoohi 72-h RR 1.26 (0.88–1.80)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⊕◯◯◯ Very low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Different effect measures (HR vs RR); risk of bias; conflicting directions; imprecision</w:t>
            </w:r>
          </w:p>
        </w:tc>
      </w:tr>
    </w:tbl>
    <w:p>
      <w:r>
        <w:rPr>
          <w:i/>
          <w:sz w:val="16"/>
        </w:rPr>
        <w:t>RR &gt; 1 indicates a higher event rate (worse outcome) with ultrasound guidance. GRADE certainty: ⊕⊕⊕⊕ High, ⊕⊕⊕◯ Moderate, ⊕⊕◯◯ Low, ⊕◯◯◯ Very low. Certainty was rated per outcome using the GRADE approach (risk of bias, inconsistency, indirectness, imprecision, publication bias); observational cohorts started at low certainty. Publication bias could not be formally assessed (fewer than 10 studies per outcome).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