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"/>
        <w:tblpPr w:leftFromText="180" w:rightFromText="180" w:vertAnchor="text" w:tblpXSpec="center" w:tblpY="1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36" w:type="dxa"/>
          <w:left w:w="36" w:type="dxa"/>
          <w:bottom w:w="36" w:type="dxa"/>
          <w:right w:w="36" w:type="dxa"/>
        </w:tblCellMar>
        <w:tblLook w:val="0020" w:firstRow="1" w:lastRow="0" w:firstColumn="0" w:lastColumn="0" w:noHBand="0" w:noVBand="0"/>
      </w:tblPr>
      <w:tblGrid>
        <w:gridCol w:w="1413"/>
        <w:gridCol w:w="709"/>
        <w:gridCol w:w="1134"/>
        <w:gridCol w:w="1134"/>
        <w:gridCol w:w="1417"/>
        <w:gridCol w:w="1418"/>
        <w:gridCol w:w="992"/>
        <w:gridCol w:w="1083"/>
        <w:gridCol w:w="1162"/>
        <w:gridCol w:w="1162"/>
        <w:gridCol w:w="1162"/>
        <w:gridCol w:w="1162"/>
      </w:tblGrid>
      <w:tr w:rsidR="00B92350" w:rsidRPr="007835C1" w14:paraId="233E9204" w14:textId="77777777" w:rsidTr="00BF5A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16"/>
          <w:tblHeader/>
        </w:trPr>
        <w:tc>
          <w:tcPr>
            <w:tcW w:w="13948" w:type="dxa"/>
            <w:gridSpan w:val="12"/>
            <w:vAlign w:val="center"/>
          </w:tcPr>
          <w:p w14:paraId="649E2D59" w14:textId="70D50F6C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b/>
                <w:sz w:val="24"/>
              </w:rPr>
              <w:t xml:space="preserve">Table </w:t>
            </w:r>
            <w:r w:rsidR="00EB0C2F">
              <w:rPr>
                <w:rFonts w:ascii="Times New Roman" w:hAnsi="Times New Roman" w:cs="Times New Roman"/>
                <w:b/>
                <w:sz w:val="24"/>
              </w:rPr>
              <w:t>3</w:t>
            </w:r>
            <w:r w:rsidRPr="00EB0C2F">
              <w:rPr>
                <w:rFonts w:ascii="Times New Roman" w:hAnsi="Times New Roman" w:cs="Times New Roman"/>
                <w:b/>
                <w:sz w:val="24"/>
              </w:rPr>
              <w:t>. Characteristics of Included Studies</w:t>
            </w:r>
          </w:p>
        </w:tc>
      </w:tr>
      <w:tr w:rsidR="00B92350" w:rsidRPr="007835C1" w14:paraId="5646D762" w14:textId="77777777" w:rsidTr="00BF5A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684"/>
          <w:tblHeader/>
        </w:trPr>
        <w:tc>
          <w:tcPr>
            <w:tcW w:w="1413" w:type="dxa"/>
            <w:vAlign w:val="center"/>
          </w:tcPr>
          <w:p w14:paraId="32745F66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b/>
                <w:sz w:val="24"/>
              </w:rPr>
              <w:t>Study</w:t>
            </w:r>
          </w:p>
        </w:tc>
        <w:tc>
          <w:tcPr>
            <w:tcW w:w="709" w:type="dxa"/>
            <w:vAlign w:val="center"/>
          </w:tcPr>
          <w:p w14:paraId="357C8B85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b/>
                <w:sz w:val="24"/>
              </w:rPr>
              <w:t>Year</w:t>
            </w:r>
          </w:p>
        </w:tc>
        <w:tc>
          <w:tcPr>
            <w:tcW w:w="1134" w:type="dxa"/>
            <w:vAlign w:val="center"/>
          </w:tcPr>
          <w:p w14:paraId="06014164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b/>
                <w:sz w:val="24"/>
              </w:rPr>
              <w:t>Country</w:t>
            </w:r>
          </w:p>
        </w:tc>
        <w:tc>
          <w:tcPr>
            <w:tcW w:w="1134" w:type="dxa"/>
            <w:vAlign w:val="center"/>
          </w:tcPr>
          <w:p w14:paraId="79364528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Design</w:t>
            </w:r>
          </w:p>
        </w:tc>
        <w:tc>
          <w:tcPr>
            <w:tcW w:w="1417" w:type="dxa"/>
            <w:vAlign w:val="center"/>
          </w:tcPr>
          <w:p w14:paraId="320819B3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b/>
                <w:sz w:val="24"/>
              </w:rPr>
              <w:t>Setting</w:t>
            </w:r>
          </w:p>
        </w:tc>
        <w:tc>
          <w:tcPr>
            <w:tcW w:w="1418" w:type="dxa"/>
            <w:vAlign w:val="center"/>
          </w:tcPr>
          <w:p w14:paraId="7BCEBFC4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Population</w:t>
            </w:r>
          </w:p>
        </w:tc>
        <w:tc>
          <w:tcPr>
            <w:tcW w:w="992" w:type="dxa"/>
            <w:vAlign w:val="center"/>
          </w:tcPr>
          <w:p w14:paraId="459FB6F1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b/>
                <w:sz w:val="24"/>
              </w:rPr>
              <w:t>N (USG/LM)</w:t>
            </w:r>
          </w:p>
        </w:tc>
        <w:tc>
          <w:tcPr>
            <w:tcW w:w="1083" w:type="dxa"/>
            <w:vAlign w:val="center"/>
          </w:tcPr>
          <w:p w14:paraId="1B3A1564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 xml:space="preserve">DIVA </w:t>
            </w:r>
          </w:p>
          <w:p w14:paraId="1E536F01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b/>
                <w:sz w:val="24"/>
              </w:rPr>
              <w:t>Only</w:t>
            </w:r>
          </w:p>
        </w:tc>
        <w:tc>
          <w:tcPr>
            <w:tcW w:w="1162" w:type="dxa"/>
            <w:vAlign w:val="center"/>
          </w:tcPr>
          <w:p w14:paraId="01D62C65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Catheter Confounded</w:t>
            </w:r>
          </w:p>
        </w:tc>
        <w:tc>
          <w:tcPr>
            <w:tcW w:w="1162" w:type="dxa"/>
            <w:vAlign w:val="center"/>
          </w:tcPr>
          <w:p w14:paraId="1071C68E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b/>
                <w:sz w:val="24"/>
              </w:rPr>
              <w:t>Follow-up</w:t>
            </w:r>
          </w:p>
        </w:tc>
        <w:tc>
          <w:tcPr>
            <w:tcW w:w="1162" w:type="dxa"/>
            <w:vAlign w:val="center"/>
          </w:tcPr>
          <w:p w14:paraId="77DB0156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Primary Post-insertion Outcome</w:t>
            </w:r>
          </w:p>
        </w:tc>
        <w:tc>
          <w:tcPr>
            <w:tcW w:w="1162" w:type="dxa"/>
            <w:vAlign w:val="center"/>
          </w:tcPr>
          <w:p w14:paraId="27CF4996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b/>
                <w:sz w:val="24"/>
              </w:rPr>
              <w:t>Key Finding</w:t>
            </w:r>
          </w:p>
        </w:tc>
      </w:tr>
      <w:tr w:rsidR="00B92350" w:rsidRPr="007835C1" w14:paraId="7150FF07" w14:textId="77777777" w:rsidTr="00BF5A11">
        <w:trPr>
          <w:cantSplit/>
        </w:trPr>
        <w:tc>
          <w:tcPr>
            <w:tcW w:w="1413" w:type="dxa"/>
          </w:tcPr>
          <w:p w14:paraId="76C1A6E9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Kleidon TM</w:t>
            </w:r>
            <w:r w:rsidR="00595059" w:rsidRPr="00EB0C2F">
              <w:rPr>
                <w:rFonts w:ascii="Times New Roman" w:hAnsi="Times New Roman" w:cs="Times New Roman"/>
                <w:sz w:val="24"/>
                <w:lang w:eastAsia="zh-TW"/>
              </w:rPr>
              <w:t xml:space="preserve"> [</w:t>
            </w:r>
            <w:r w:rsidR="001031DC" w:rsidRPr="00EB0C2F">
              <w:rPr>
                <w:rFonts w:ascii="Times New Roman" w:hAnsi="Times New Roman" w:cs="Times New Roman"/>
                <w:sz w:val="24"/>
                <w:lang w:eastAsia="zh-TW"/>
              </w:rPr>
              <w:t>12</w:t>
            </w:r>
            <w:r w:rsidR="00595059" w:rsidRPr="00EB0C2F">
              <w:rPr>
                <w:rFonts w:ascii="Times New Roman" w:hAnsi="Times New Roman" w:cs="Times New Roman"/>
                <w:sz w:val="24"/>
                <w:lang w:eastAsia="zh-TW"/>
              </w:rPr>
              <w:t>]</w:t>
            </w:r>
          </w:p>
        </w:tc>
        <w:tc>
          <w:tcPr>
            <w:tcW w:w="709" w:type="dxa"/>
          </w:tcPr>
          <w:p w14:paraId="7E2D3074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2025</w:t>
            </w:r>
          </w:p>
        </w:tc>
        <w:tc>
          <w:tcPr>
            <w:tcW w:w="1134" w:type="dxa"/>
          </w:tcPr>
          <w:p w14:paraId="26A8BD11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Australia</w:t>
            </w:r>
          </w:p>
        </w:tc>
        <w:tc>
          <w:tcPr>
            <w:tcW w:w="1134" w:type="dxa"/>
          </w:tcPr>
          <w:p w14:paraId="3269F072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RCT</w:t>
            </w:r>
          </w:p>
        </w:tc>
        <w:tc>
          <w:tcPr>
            <w:tcW w:w="1417" w:type="dxa"/>
          </w:tcPr>
          <w:p w14:paraId="253A12E4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Quaternary children’s hospital</w:t>
            </w:r>
          </w:p>
        </w:tc>
        <w:tc>
          <w:tcPr>
            <w:tcW w:w="1418" w:type="dxa"/>
          </w:tcPr>
          <w:p w14:paraId="3FF387A0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Pediatric 0-18y</w:t>
            </w:r>
          </w:p>
        </w:tc>
        <w:tc>
          <w:tcPr>
            <w:tcW w:w="992" w:type="dxa"/>
          </w:tcPr>
          <w:p w14:paraId="7CA6D3F2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84/80</w:t>
            </w:r>
          </w:p>
        </w:tc>
        <w:tc>
          <w:tcPr>
            <w:tcW w:w="1083" w:type="dxa"/>
          </w:tcPr>
          <w:p w14:paraId="271DEE6A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No</w:t>
            </w:r>
          </w:p>
        </w:tc>
        <w:tc>
          <w:tcPr>
            <w:tcW w:w="1162" w:type="dxa"/>
          </w:tcPr>
          <w:p w14:paraId="425029F4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No</w:t>
            </w:r>
          </w:p>
        </w:tc>
        <w:tc>
          <w:tcPr>
            <w:tcW w:w="1162" w:type="dxa"/>
          </w:tcPr>
          <w:p w14:paraId="1866607E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Until removal</w:t>
            </w:r>
          </w:p>
        </w:tc>
        <w:tc>
          <w:tcPr>
            <w:tcW w:w="1162" w:type="dxa"/>
          </w:tcPr>
          <w:p w14:paraId="2A907600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PIVC failure, dwell time</w:t>
            </w:r>
          </w:p>
        </w:tc>
        <w:tc>
          <w:tcPr>
            <w:tcW w:w="1162" w:type="dxa"/>
          </w:tcPr>
          <w:p w14:paraId="030BA8A2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Failure 23.8% vs 25.0% (NS); Dwell 47.1 vs 47.7h (NS)</w:t>
            </w:r>
          </w:p>
        </w:tc>
      </w:tr>
      <w:tr w:rsidR="00B92350" w:rsidRPr="007835C1" w14:paraId="78016DB5" w14:textId="77777777" w:rsidTr="00BF5A11">
        <w:trPr>
          <w:cantSplit/>
        </w:trPr>
        <w:tc>
          <w:tcPr>
            <w:tcW w:w="1413" w:type="dxa"/>
          </w:tcPr>
          <w:p w14:paraId="4B54A7E1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Refosco M</w:t>
            </w:r>
            <w:r w:rsidR="006C1586" w:rsidRPr="00EB0C2F">
              <w:rPr>
                <w:rFonts w:ascii="Times New Roman" w:hAnsi="Times New Roman" w:cs="Times New Roman"/>
                <w:sz w:val="24"/>
                <w:lang w:eastAsia="zh-TW"/>
              </w:rPr>
              <w:t xml:space="preserve"> [</w:t>
            </w:r>
            <w:r w:rsidR="006741E0" w:rsidRPr="00EB0C2F">
              <w:rPr>
                <w:rFonts w:ascii="Times New Roman" w:hAnsi="Times New Roman" w:cs="Times New Roman"/>
                <w:sz w:val="24"/>
                <w:lang w:eastAsia="zh-TW"/>
              </w:rPr>
              <w:t>24</w:t>
            </w:r>
            <w:r w:rsidR="006C1586" w:rsidRPr="00EB0C2F">
              <w:rPr>
                <w:rFonts w:ascii="Times New Roman" w:hAnsi="Times New Roman" w:cs="Times New Roman"/>
                <w:sz w:val="24"/>
                <w:lang w:eastAsia="zh-TW"/>
              </w:rPr>
              <w:t>]</w:t>
            </w:r>
          </w:p>
        </w:tc>
        <w:tc>
          <w:tcPr>
            <w:tcW w:w="709" w:type="dxa"/>
          </w:tcPr>
          <w:p w14:paraId="09B948B8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202</w:t>
            </w:r>
            <w:r w:rsidR="006741E0" w:rsidRPr="00EB0C2F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1134" w:type="dxa"/>
          </w:tcPr>
          <w:p w14:paraId="2427767D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Italy</w:t>
            </w:r>
          </w:p>
        </w:tc>
        <w:tc>
          <w:tcPr>
            <w:tcW w:w="1134" w:type="dxa"/>
          </w:tcPr>
          <w:p w14:paraId="18F9635E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Retrospective cohort</w:t>
            </w:r>
          </w:p>
        </w:tc>
        <w:tc>
          <w:tcPr>
            <w:tcW w:w="1417" w:type="dxa"/>
          </w:tcPr>
          <w:p w14:paraId="3265CB57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Pediatric ED</w:t>
            </w:r>
          </w:p>
        </w:tc>
        <w:tc>
          <w:tcPr>
            <w:tcW w:w="1418" w:type="dxa"/>
          </w:tcPr>
          <w:p w14:paraId="0636994F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Pediatric 0-18y</w:t>
            </w:r>
          </w:p>
        </w:tc>
        <w:tc>
          <w:tcPr>
            <w:tcW w:w="992" w:type="dxa"/>
          </w:tcPr>
          <w:p w14:paraId="77A410DC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135/135</w:t>
            </w:r>
          </w:p>
        </w:tc>
        <w:tc>
          <w:tcPr>
            <w:tcW w:w="1083" w:type="dxa"/>
          </w:tcPr>
          <w:p w14:paraId="6C27CBB8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No</w:t>
            </w:r>
          </w:p>
        </w:tc>
        <w:tc>
          <w:tcPr>
            <w:tcW w:w="1162" w:type="dxa"/>
          </w:tcPr>
          <w:p w14:paraId="4DBF3F2A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Yes*</w:t>
            </w:r>
          </w:p>
        </w:tc>
        <w:tc>
          <w:tcPr>
            <w:tcW w:w="1162" w:type="dxa"/>
          </w:tcPr>
          <w:p w14:paraId="3CE708B2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Until removal</w:t>
            </w:r>
          </w:p>
        </w:tc>
        <w:tc>
          <w:tcPr>
            <w:tcW w:w="1162" w:type="dxa"/>
          </w:tcPr>
          <w:p w14:paraId="064577B9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Dwell time, complications</w:t>
            </w:r>
          </w:p>
        </w:tc>
        <w:tc>
          <w:tcPr>
            <w:tcW w:w="1162" w:type="dxa"/>
          </w:tcPr>
          <w:p w14:paraId="320EACA1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Dwell 5.3±4.0 vs 2.5±1.8 days (p&lt;0.001); Complications 34% vs 70%</w:t>
            </w:r>
          </w:p>
        </w:tc>
      </w:tr>
      <w:tr w:rsidR="00B92350" w:rsidRPr="007835C1" w14:paraId="29D125E3" w14:textId="77777777" w:rsidTr="00BF5A11">
        <w:trPr>
          <w:cantSplit/>
        </w:trPr>
        <w:tc>
          <w:tcPr>
            <w:tcW w:w="1413" w:type="dxa"/>
          </w:tcPr>
          <w:p w14:paraId="69DAB50F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lastRenderedPageBreak/>
              <w:t>Varghese S</w:t>
            </w:r>
            <w:r w:rsidR="00F82682" w:rsidRPr="00EB0C2F">
              <w:rPr>
                <w:rFonts w:ascii="Times New Roman" w:hAnsi="Times New Roman" w:cs="Times New Roman"/>
                <w:sz w:val="24"/>
                <w:lang w:eastAsia="zh-TW"/>
              </w:rPr>
              <w:t xml:space="preserve"> [</w:t>
            </w:r>
            <w:r w:rsidR="006741E0" w:rsidRPr="00EB0C2F">
              <w:rPr>
                <w:rFonts w:ascii="Times New Roman" w:hAnsi="Times New Roman" w:cs="Times New Roman"/>
                <w:sz w:val="24"/>
                <w:lang w:eastAsia="zh-TW"/>
              </w:rPr>
              <w:t>17</w:t>
            </w:r>
            <w:r w:rsidR="00F82682" w:rsidRPr="00EB0C2F">
              <w:rPr>
                <w:rFonts w:ascii="Times New Roman" w:hAnsi="Times New Roman" w:cs="Times New Roman"/>
                <w:sz w:val="24"/>
                <w:lang w:eastAsia="zh-TW"/>
              </w:rPr>
              <w:t>]</w:t>
            </w:r>
          </w:p>
        </w:tc>
        <w:tc>
          <w:tcPr>
            <w:tcW w:w="709" w:type="dxa"/>
          </w:tcPr>
          <w:p w14:paraId="0660E77B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2025</w:t>
            </w:r>
          </w:p>
        </w:tc>
        <w:tc>
          <w:tcPr>
            <w:tcW w:w="1134" w:type="dxa"/>
          </w:tcPr>
          <w:p w14:paraId="4E9D03CB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India</w:t>
            </w:r>
          </w:p>
        </w:tc>
        <w:tc>
          <w:tcPr>
            <w:tcW w:w="1134" w:type="dxa"/>
          </w:tcPr>
          <w:p w14:paraId="78A75FBB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RCT</w:t>
            </w:r>
          </w:p>
        </w:tc>
        <w:tc>
          <w:tcPr>
            <w:tcW w:w="1417" w:type="dxa"/>
          </w:tcPr>
          <w:p w14:paraId="481072BB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Tertiary pediatric ED</w:t>
            </w:r>
          </w:p>
        </w:tc>
        <w:tc>
          <w:tcPr>
            <w:tcW w:w="1418" w:type="dxa"/>
          </w:tcPr>
          <w:p w14:paraId="3A0E5C0E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Pediatric 1mo-17y</w:t>
            </w:r>
          </w:p>
        </w:tc>
        <w:tc>
          <w:tcPr>
            <w:tcW w:w="992" w:type="dxa"/>
          </w:tcPr>
          <w:p w14:paraId="53EE630C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45/45</w:t>
            </w:r>
          </w:p>
        </w:tc>
        <w:tc>
          <w:tcPr>
            <w:tcW w:w="1083" w:type="dxa"/>
          </w:tcPr>
          <w:p w14:paraId="7B5A94A7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Mixed</w:t>
            </w:r>
          </w:p>
        </w:tc>
        <w:tc>
          <w:tcPr>
            <w:tcW w:w="1162" w:type="dxa"/>
          </w:tcPr>
          <w:p w14:paraId="5D05CDF1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No</w:t>
            </w:r>
          </w:p>
        </w:tc>
        <w:tc>
          <w:tcPr>
            <w:tcW w:w="1162" w:type="dxa"/>
          </w:tcPr>
          <w:p w14:paraId="42BA7962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2 hours</w:t>
            </w:r>
          </w:p>
        </w:tc>
        <w:tc>
          <w:tcPr>
            <w:tcW w:w="1162" w:type="dxa"/>
          </w:tcPr>
          <w:p w14:paraId="06CF6E7C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Catheter patency, complications</w:t>
            </w:r>
          </w:p>
        </w:tc>
        <w:tc>
          <w:tcPr>
            <w:tcW w:w="1162" w:type="dxa"/>
          </w:tcPr>
          <w:p w14:paraId="5ECE4244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Patency 97.78% vs 84.44% (p=0.03)</w:t>
            </w:r>
          </w:p>
        </w:tc>
      </w:tr>
      <w:tr w:rsidR="00B92350" w:rsidRPr="007835C1" w14:paraId="2D4E434F" w14:textId="77777777" w:rsidTr="00BF5A11">
        <w:trPr>
          <w:cantSplit/>
        </w:trPr>
        <w:tc>
          <w:tcPr>
            <w:tcW w:w="1413" w:type="dxa"/>
          </w:tcPr>
          <w:p w14:paraId="57A7409E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Dachepally R</w:t>
            </w:r>
            <w:r w:rsidR="00FD555C" w:rsidRPr="00EB0C2F">
              <w:rPr>
                <w:rFonts w:ascii="Times New Roman" w:hAnsi="Times New Roman" w:cs="Times New Roman"/>
                <w:sz w:val="24"/>
                <w:lang w:eastAsia="zh-TW"/>
              </w:rPr>
              <w:t xml:space="preserve"> [</w:t>
            </w:r>
            <w:r w:rsidR="005F11BC" w:rsidRPr="00EB0C2F">
              <w:rPr>
                <w:rFonts w:ascii="Times New Roman" w:hAnsi="Times New Roman" w:cs="Times New Roman"/>
                <w:sz w:val="24"/>
                <w:lang w:eastAsia="zh-TW"/>
              </w:rPr>
              <w:t>22</w:t>
            </w:r>
            <w:r w:rsidR="00FD555C" w:rsidRPr="00EB0C2F">
              <w:rPr>
                <w:rFonts w:ascii="Times New Roman" w:hAnsi="Times New Roman" w:cs="Times New Roman"/>
                <w:sz w:val="24"/>
                <w:lang w:eastAsia="zh-TW"/>
              </w:rPr>
              <w:t>]</w:t>
            </w:r>
          </w:p>
        </w:tc>
        <w:tc>
          <w:tcPr>
            <w:tcW w:w="709" w:type="dxa"/>
          </w:tcPr>
          <w:p w14:paraId="4666CE5B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2023</w:t>
            </w:r>
          </w:p>
        </w:tc>
        <w:tc>
          <w:tcPr>
            <w:tcW w:w="1134" w:type="dxa"/>
          </w:tcPr>
          <w:p w14:paraId="7107548B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USA</w:t>
            </w:r>
          </w:p>
        </w:tc>
        <w:tc>
          <w:tcPr>
            <w:tcW w:w="1134" w:type="dxa"/>
          </w:tcPr>
          <w:p w14:paraId="41435062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Retrospective cohort</w:t>
            </w:r>
          </w:p>
        </w:tc>
        <w:tc>
          <w:tcPr>
            <w:tcW w:w="1417" w:type="dxa"/>
          </w:tcPr>
          <w:p w14:paraId="4E6F8B0E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Pediatric ICU</w:t>
            </w:r>
          </w:p>
        </w:tc>
        <w:tc>
          <w:tcPr>
            <w:tcW w:w="1418" w:type="dxa"/>
          </w:tcPr>
          <w:p w14:paraId="28366E8E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Pediatric ICU (DIVA)</w:t>
            </w:r>
          </w:p>
        </w:tc>
        <w:tc>
          <w:tcPr>
            <w:tcW w:w="992" w:type="dxa"/>
          </w:tcPr>
          <w:p w14:paraId="4B3C0897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99/88</w:t>
            </w:r>
          </w:p>
        </w:tc>
        <w:tc>
          <w:tcPr>
            <w:tcW w:w="1083" w:type="dxa"/>
          </w:tcPr>
          <w:p w14:paraId="59225BE0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Yes</w:t>
            </w:r>
          </w:p>
        </w:tc>
        <w:tc>
          <w:tcPr>
            <w:tcW w:w="1162" w:type="dxa"/>
          </w:tcPr>
          <w:p w14:paraId="162B841C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Yes*</w:t>
            </w:r>
          </w:p>
        </w:tc>
        <w:tc>
          <w:tcPr>
            <w:tcW w:w="1162" w:type="dxa"/>
          </w:tcPr>
          <w:p w14:paraId="1E77D095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Until removal</w:t>
            </w:r>
          </w:p>
        </w:tc>
        <w:tc>
          <w:tcPr>
            <w:tcW w:w="1162" w:type="dxa"/>
          </w:tcPr>
          <w:p w14:paraId="7589B69F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Dwell time, IV failure</w:t>
            </w:r>
          </w:p>
        </w:tc>
        <w:tc>
          <w:tcPr>
            <w:tcW w:w="1162" w:type="dxa"/>
          </w:tcPr>
          <w:p w14:paraId="3F2FF171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Median 219 vs 108h (p&lt;0.001); HR 2.20 (1.45-3.34)</w:t>
            </w:r>
          </w:p>
        </w:tc>
      </w:tr>
      <w:tr w:rsidR="00B92350" w:rsidRPr="007835C1" w14:paraId="6169AE2F" w14:textId="77777777" w:rsidTr="00BF5A11">
        <w:trPr>
          <w:cantSplit/>
        </w:trPr>
        <w:tc>
          <w:tcPr>
            <w:tcW w:w="1413" w:type="dxa"/>
          </w:tcPr>
          <w:p w14:paraId="2E78FD93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Feinsmith SE</w:t>
            </w:r>
            <w:r w:rsidR="00003D99" w:rsidRPr="00EB0C2F">
              <w:rPr>
                <w:rFonts w:ascii="Times New Roman" w:hAnsi="Times New Roman" w:cs="Times New Roman"/>
                <w:sz w:val="24"/>
                <w:lang w:eastAsia="zh-TW"/>
              </w:rPr>
              <w:t xml:space="preserve"> [</w:t>
            </w:r>
            <w:r w:rsidR="005F11BC" w:rsidRPr="00EB0C2F">
              <w:rPr>
                <w:rFonts w:ascii="Times New Roman" w:hAnsi="Times New Roman" w:cs="Times New Roman"/>
                <w:sz w:val="24"/>
                <w:lang w:eastAsia="zh-TW"/>
              </w:rPr>
              <w:t>19</w:t>
            </w:r>
            <w:r w:rsidR="00003D99" w:rsidRPr="00EB0C2F">
              <w:rPr>
                <w:rFonts w:ascii="Times New Roman" w:hAnsi="Times New Roman" w:cs="Times New Roman"/>
                <w:sz w:val="24"/>
                <w:lang w:eastAsia="zh-TW"/>
              </w:rPr>
              <w:t>]</w:t>
            </w:r>
          </w:p>
        </w:tc>
        <w:tc>
          <w:tcPr>
            <w:tcW w:w="709" w:type="dxa"/>
          </w:tcPr>
          <w:p w14:paraId="72A4BC01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2023</w:t>
            </w:r>
          </w:p>
        </w:tc>
        <w:tc>
          <w:tcPr>
            <w:tcW w:w="1134" w:type="dxa"/>
          </w:tcPr>
          <w:p w14:paraId="34CD56C5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USA</w:t>
            </w:r>
          </w:p>
        </w:tc>
        <w:tc>
          <w:tcPr>
            <w:tcW w:w="1134" w:type="dxa"/>
          </w:tcPr>
          <w:p w14:paraId="44868654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Retrospective cohort</w:t>
            </w:r>
          </w:p>
        </w:tc>
        <w:tc>
          <w:tcPr>
            <w:tcW w:w="1417" w:type="dxa"/>
          </w:tcPr>
          <w:p w14:paraId="77DC1848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Tertiary academic center</w:t>
            </w:r>
          </w:p>
        </w:tc>
        <w:tc>
          <w:tcPr>
            <w:tcW w:w="1418" w:type="dxa"/>
          </w:tcPr>
          <w:p w14:paraId="519C8535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Adult (DIVA)</w:t>
            </w:r>
          </w:p>
        </w:tc>
        <w:tc>
          <w:tcPr>
            <w:tcW w:w="992" w:type="dxa"/>
          </w:tcPr>
          <w:p w14:paraId="7CAF1040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7,972/35,498</w:t>
            </w:r>
          </w:p>
        </w:tc>
        <w:tc>
          <w:tcPr>
            <w:tcW w:w="1083" w:type="dxa"/>
          </w:tcPr>
          <w:p w14:paraId="630F6AD2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Yes</w:t>
            </w:r>
          </w:p>
        </w:tc>
        <w:tc>
          <w:tcPr>
            <w:tcW w:w="1162" w:type="dxa"/>
          </w:tcPr>
          <w:p w14:paraId="6181F8FE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No</w:t>
            </w:r>
          </w:p>
        </w:tc>
        <w:tc>
          <w:tcPr>
            <w:tcW w:w="1162" w:type="dxa"/>
          </w:tcPr>
          <w:p w14:paraId="523A0808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30 days</w:t>
            </w:r>
          </w:p>
        </w:tc>
        <w:tc>
          <w:tcPr>
            <w:tcW w:w="1162" w:type="dxa"/>
          </w:tcPr>
          <w:p w14:paraId="1752F9FE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KM survival, HR</w:t>
            </w:r>
          </w:p>
        </w:tc>
        <w:tc>
          <w:tcPr>
            <w:tcW w:w="1162" w:type="dxa"/>
          </w:tcPr>
          <w:p w14:paraId="654D4C01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Adjusted HR 0.91 (0.87-0.95) favoring USG</w:t>
            </w:r>
          </w:p>
        </w:tc>
      </w:tr>
      <w:tr w:rsidR="00B92350" w:rsidRPr="007835C1" w14:paraId="2F439881" w14:textId="77777777" w:rsidTr="00BF5A11">
        <w:trPr>
          <w:cantSplit/>
        </w:trPr>
        <w:tc>
          <w:tcPr>
            <w:tcW w:w="1413" w:type="dxa"/>
          </w:tcPr>
          <w:p w14:paraId="2E4C2987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Leroux S</w:t>
            </w:r>
            <w:r w:rsidR="002252B0" w:rsidRPr="00EB0C2F">
              <w:rPr>
                <w:rFonts w:ascii="Times New Roman" w:hAnsi="Times New Roman" w:cs="Times New Roman"/>
                <w:sz w:val="24"/>
                <w:lang w:eastAsia="zh-TW"/>
              </w:rPr>
              <w:t xml:space="preserve"> [</w:t>
            </w:r>
            <w:r w:rsidR="006741E0" w:rsidRPr="00EB0C2F">
              <w:rPr>
                <w:rFonts w:ascii="Times New Roman" w:hAnsi="Times New Roman" w:cs="Times New Roman"/>
                <w:sz w:val="24"/>
                <w:lang w:eastAsia="zh-TW"/>
              </w:rPr>
              <w:t>18</w:t>
            </w:r>
            <w:r w:rsidR="002252B0" w:rsidRPr="00EB0C2F">
              <w:rPr>
                <w:rFonts w:ascii="Times New Roman" w:hAnsi="Times New Roman" w:cs="Times New Roman"/>
                <w:sz w:val="24"/>
                <w:lang w:eastAsia="zh-TW"/>
              </w:rPr>
              <w:t>]</w:t>
            </w:r>
          </w:p>
        </w:tc>
        <w:tc>
          <w:tcPr>
            <w:tcW w:w="709" w:type="dxa"/>
          </w:tcPr>
          <w:p w14:paraId="3AE1DB76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2023</w:t>
            </w:r>
          </w:p>
        </w:tc>
        <w:tc>
          <w:tcPr>
            <w:tcW w:w="1134" w:type="dxa"/>
          </w:tcPr>
          <w:p w14:paraId="05AD1949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USA</w:t>
            </w:r>
          </w:p>
        </w:tc>
        <w:tc>
          <w:tcPr>
            <w:tcW w:w="1134" w:type="dxa"/>
          </w:tcPr>
          <w:p w14:paraId="5CAFA9B5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RCT</w:t>
            </w:r>
          </w:p>
        </w:tc>
        <w:tc>
          <w:tcPr>
            <w:tcW w:w="1417" w:type="dxa"/>
          </w:tcPr>
          <w:p w14:paraId="5A0E7AB1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Tertiary ED</w:t>
            </w:r>
          </w:p>
        </w:tc>
        <w:tc>
          <w:tcPr>
            <w:tcW w:w="1418" w:type="dxa"/>
          </w:tcPr>
          <w:p w14:paraId="7885AE64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Adult ED</w:t>
            </w:r>
          </w:p>
        </w:tc>
        <w:tc>
          <w:tcPr>
            <w:tcW w:w="992" w:type="dxa"/>
          </w:tcPr>
          <w:p w14:paraId="3B802738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106/116</w:t>
            </w:r>
          </w:p>
        </w:tc>
        <w:tc>
          <w:tcPr>
            <w:tcW w:w="1083" w:type="dxa"/>
          </w:tcPr>
          <w:p w14:paraId="3E6D509B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No</w:t>
            </w:r>
          </w:p>
        </w:tc>
        <w:tc>
          <w:tcPr>
            <w:tcW w:w="1162" w:type="dxa"/>
          </w:tcPr>
          <w:p w14:paraId="02BA2C2B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No</w:t>
            </w:r>
          </w:p>
        </w:tc>
        <w:tc>
          <w:tcPr>
            <w:tcW w:w="1162" w:type="dxa"/>
          </w:tcPr>
          <w:p w14:paraId="3B3D29A4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48-96h</w:t>
            </w:r>
          </w:p>
        </w:tc>
        <w:tc>
          <w:tcPr>
            <w:tcW w:w="1162" w:type="dxa"/>
          </w:tcPr>
          <w:p w14:paraId="34733F04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Postinsertion failure, utility time</w:t>
            </w:r>
          </w:p>
        </w:tc>
        <w:tc>
          <w:tcPr>
            <w:tcW w:w="1162" w:type="dxa"/>
          </w:tcPr>
          <w:p w14:paraId="44453D0B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Failure 11.3% vs 9.5% (NS); Utility 23.5 vs 24.7h (NS)</w:t>
            </w:r>
          </w:p>
        </w:tc>
      </w:tr>
      <w:tr w:rsidR="00B92350" w:rsidRPr="007835C1" w14:paraId="5C287DA2" w14:textId="77777777" w:rsidTr="00BF5A11">
        <w:trPr>
          <w:cantSplit/>
        </w:trPr>
        <w:tc>
          <w:tcPr>
            <w:tcW w:w="1413" w:type="dxa"/>
          </w:tcPr>
          <w:p w14:paraId="4F3E479B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Cottrell JT</w:t>
            </w:r>
            <w:r w:rsidR="002252B0" w:rsidRPr="00EB0C2F">
              <w:rPr>
                <w:rFonts w:ascii="Times New Roman" w:hAnsi="Times New Roman" w:cs="Times New Roman"/>
                <w:sz w:val="24"/>
                <w:lang w:eastAsia="zh-TW"/>
              </w:rPr>
              <w:t xml:space="preserve"> [</w:t>
            </w:r>
            <w:r w:rsidR="006741E0" w:rsidRPr="00EB0C2F">
              <w:rPr>
                <w:rFonts w:ascii="Times New Roman" w:hAnsi="Times New Roman" w:cs="Times New Roman"/>
                <w:sz w:val="24"/>
                <w:lang w:eastAsia="zh-TW"/>
              </w:rPr>
              <w:t>21</w:t>
            </w:r>
            <w:r w:rsidR="002252B0" w:rsidRPr="00EB0C2F">
              <w:rPr>
                <w:rFonts w:ascii="Times New Roman" w:hAnsi="Times New Roman" w:cs="Times New Roman"/>
                <w:sz w:val="24"/>
                <w:lang w:eastAsia="zh-TW"/>
              </w:rPr>
              <w:t>]</w:t>
            </w:r>
          </w:p>
        </w:tc>
        <w:tc>
          <w:tcPr>
            <w:tcW w:w="709" w:type="dxa"/>
          </w:tcPr>
          <w:p w14:paraId="234DEEBC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2021</w:t>
            </w:r>
          </w:p>
        </w:tc>
        <w:tc>
          <w:tcPr>
            <w:tcW w:w="1134" w:type="dxa"/>
          </w:tcPr>
          <w:p w14:paraId="7FCC6B93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USA</w:t>
            </w:r>
          </w:p>
        </w:tc>
        <w:tc>
          <w:tcPr>
            <w:tcW w:w="1134" w:type="dxa"/>
          </w:tcPr>
          <w:p w14:paraId="6047D8F7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Retrospective cohort</w:t>
            </w:r>
          </w:p>
        </w:tc>
        <w:tc>
          <w:tcPr>
            <w:tcW w:w="1417" w:type="dxa"/>
          </w:tcPr>
          <w:p w14:paraId="3F5B7198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Pediatric hospital</w:t>
            </w:r>
          </w:p>
        </w:tc>
        <w:tc>
          <w:tcPr>
            <w:tcW w:w="1418" w:type="dxa"/>
          </w:tcPr>
          <w:p w14:paraId="3221A358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Pediatric (all)</w:t>
            </w:r>
          </w:p>
        </w:tc>
        <w:tc>
          <w:tcPr>
            <w:tcW w:w="992" w:type="dxa"/>
          </w:tcPr>
          <w:p w14:paraId="4F84399D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256/287</w:t>
            </w:r>
          </w:p>
        </w:tc>
        <w:tc>
          <w:tcPr>
            <w:tcW w:w="1083" w:type="dxa"/>
          </w:tcPr>
          <w:p w14:paraId="1EA3234A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No</w:t>
            </w:r>
          </w:p>
        </w:tc>
        <w:tc>
          <w:tcPr>
            <w:tcW w:w="1162" w:type="dxa"/>
          </w:tcPr>
          <w:p w14:paraId="738D8CE5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No</w:t>
            </w:r>
          </w:p>
        </w:tc>
        <w:tc>
          <w:tcPr>
            <w:tcW w:w="1162" w:type="dxa"/>
          </w:tcPr>
          <w:p w14:paraId="1863242E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Until removal</w:t>
            </w:r>
          </w:p>
        </w:tc>
        <w:tc>
          <w:tcPr>
            <w:tcW w:w="1162" w:type="dxa"/>
          </w:tcPr>
          <w:p w14:paraId="2E6FBD46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Dwell time</w:t>
            </w:r>
          </w:p>
        </w:tc>
        <w:tc>
          <w:tcPr>
            <w:tcW w:w="1162" w:type="dxa"/>
          </w:tcPr>
          <w:p w14:paraId="0FBCE1A0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Mean 96.1 vs 59.4h (p&lt;0.001)</w:t>
            </w:r>
          </w:p>
        </w:tc>
      </w:tr>
      <w:tr w:rsidR="00B92350" w:rsidRPr="007835C1" w14:paraId="13B9EC97" w14:textId="77777777" w:rsidTr="00BF5A11">
        <w:trPr>
          <w:cantSplit/>
        </w:trPr>
        <w:tc>
          <w:tcPr>
            <w:tcW w:w="1413" w:type="dxa"/>
          </w:tcPr>
          <w:p w14:paraId="186886C5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Nishizawa T</w:t>
            </w:r>
            <w:r w:rsidR="00E81EF9" w:rsidRPr="00EB0C2F">
              <w:rPr>
                <w:rFonts w:ascii="Times New Roman" w:hAnsi="Times New Roman" w:cs="Times New Roman"/>
                <w:sz w:val="24"/>
                <w:lang w:eastAsia="zh-TW"/>
              </w:rPr>
              <w:t xml:space="preserve"> [</w:t>
            </w:r>
            <w:r w:rsidR="00E4672A" w:rsidRPr="00EB0C2F">
              <w:rPr>
                <w:rFonts w:ascii="Times New Roman" w:hAnsi="Times New Roman" w:cs="Times New Roman"/>
                <w:sz w:val="24"/>
                <w:lang w:eastAsia="zh-TW"/>
              </w:rPr>
              <w:t>15</w:t>
            </w:r>
            <w:r w:rsidR="00E81EF9" w:rsidRPr="00EB0C2F">
              <w:rPr>
                <w:rFonts w:ascii="Times New Roman" w:hAnsi="Times New Roman" w:cs="Times New Roman"/>
                <w:sz w:val="24"/>
                <w:lang w:eastAsia="zh-TW"/>
              </w:rPr>
              <w:t>]</w:t>
            </w:r>
          </w:p>
        </w:tc>
        <w:tc>
          <w:tcPr>
            <w:tcW w:w="709" w:type="dxa"/>
          </w:tcPr>
          <w:p w14:paraId="7D070203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2020</w:t>
            </w:r>
          </w:p>
        </w:tc>
        <w:tc>
          <w:tcPr>
            <w:tcW w:w="1134" w:type="dxa"/>
          </w:tcPr>
          <w:p w14:paraId="10E5341D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Japan</w:t>
            </w:r>
          </w:p>
        </w:tc>
        <w:tc>
          <w:tcPr>
            <w:tcW w:w="1134" w:type="dxa"/>
          </w:tcPr>
          <w:p w14:paraId="440CFC4D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RCT</w:t>
            </w:r>
          </w:p>
        </w:tc>
        <w:tc>
          <w:tcPr>
            <w:tcW w:w="1417" w:type="dxa"/>
          </w:tcPr>
          <w:p w14:paraId="4137DF8D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Mixed ICU</w:t>
            </w:r>
          </w:p>
        </w:tc>
        <w:tc>
          <w:tcPr>
            <w:tcW w:w="1418" w:type="dxa"/>
          </w:tcPr>
          <w:p w14:paraId="17880C4D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Adult ICU (DIVA)</w:t>
            </w:r>
          </w:p>
        </w:tc>
        <w:tc>
          <w:tcPr>
            <w:tcW w:w="992" w:type="dxa"/>
          </w:tcPr>
          <w:p w14:paraId="594CA4E9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30/30</w:t>
            </w:r>
          </w:p>
        </w:tc>
        <w:tc>
          <w:tcPr>
            <w:tcW w:w="1083" w:type="dxa"/>
          </w:tcPr>
          <w:p w14:paraId="6C5F6EA9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Yes</w:t>
            </w:r>
          </w:p>
        </w:tc>
        <w:tc>
          <w:tcPr>
            <w:tcW w:w="1162" w:type="dxa"/>
          </w:tcPr>
          <w:p w14:paraId="24253871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No</w:t>
            </w:r>
          </w:p>
        </w:tc>
        <w:tc>
          <w:tcPr>
            <w:tcW w:w="1162" w:type="dxa"/>
          </w:tcPr>
          <w:p w14:paraId="42F30205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Until removal</w:t>
            </w:r>
          </w:p>
        </w:tc>
        <w:tc>
          <w:tcPr>
            <w:tcW w:w="1162" w:type="dxa"/>
          </w:tcPr>
          <w:p w14:paraId="7FA151C7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First-attempt success, extravasation</w:t>
            </w:r>
          </w:p>
        </w:tc>
        <w:tc>
          <w:tcPr>
            <w:tcW w:w="1162" w:type="dxa"/>
          </w:tcPr>
          <w:p w14:paraId="6ACB48EF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First-attempt 70% vs 40% (p&lt;0.05); Extravasation 13.6% vs 28.5% (NS)</w:t>
            </w:r>
          </w:p>
        </w:tc>
      </w:tr>
      <w:tr w:rsidR="00B92350" w:rsidRPr="007835C1" w14:paraId="41362760" w14:textId="77777777" w:rsidTr="00BF5A11">
        <w:trPr>
          <w:cantSplit/>
        </w:trPr>
        <w:tc>
          <w:tcPr>
            <w:tcW w:w="1413" w:type="dxa"/>
          </w:tcPr>
          <w:p w14:paraId="5EB628C2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Favot M</w:t>
            </w:r>
            <w:r w:rsidR="00FD555C" w:rsidRPr="00EB0C2F">
              <w:rPr>
                <w:rFonts w:ascii="Times New Roman" w:hAnsi="Times New Roman" w:cs="Times New Roman"/>
                <w:sz w:val="24"/>
                <w:lang w:eastAsia="zh-TW"/>
              </w:rPr>
              <w:t xml:space="preserve"> [</w:t>
            </w:r>
            <w:r w:rsidR="005F11BC" w:rsidRPr="00EB0C2F">
              <w:rPr>
                <w:rFonts w:ascii="Times New Roman" w:hAnsi="Times New Roman" w:cs="Times New Roman"/>
                <w:sz w:val="24"/>
                <w:lang w:eastAsia="zh-TW"/>
              </w:rPr>
              <w:t>25</w:t>
            </w:r>
            <w:r w:rsidR="00FD555C" w:rsidRPr="00EB0C2F">
              <w:rPr>
                <w:rFonts w:ascii="Times New Roman" w:hAnsi="Times New Roman" w:cs="Times New Roman"/>
                <w:sz w:val="24"/>
                <w:lang w:eastAsia="zh-TW"/>
              </w:rPr>
              <w:t>]</w:t>
            </w:r>
          </w:p>
        </w:tc>
        <w:tc>
          <w:tcPr>
            <w:tcW w:w="709" w:type="dxa"/>
          </w:tcPr>
          <w:p w14:paraId="0D467465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2019</w:t>
            </w:r>
          </w:p>
        </w:tc>
        <w:tc>
          <w:tcPr>
            <w:tcW w:w="1134" w:type="dxa"/>
          </w:tcPr>
          <w:p w14:paraId="62EBF8F7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USA</w:t>
            </w:r>
          </w:p>
        </w:tc>
        <w:tc>
          <w:tcPr>
            <w:tcW w:w="1134" w:type="dxa"/>
          </w:tcPr>
          <w:p w14:paraId="11BB175E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Retrospective cohort</w:t>
            </w:r>
          </w:p>
        </w:tc>
        <w:tc>
          <w:tcPr>
            <w:tcW w:w="1417" w:type="dxa"/>
          </w:tcPr>
          <w:p w14:paraId="517C1962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Tertiary ED</w:t>
            </w:r>
          </w:p>
        </w:tc>
        <w:tc>
          <w:tcPr>
            <w:tcW w:w="1418" w:type="dxa"/>
          </w:tcPr>
          <w:p w14:paraId="20E6B333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Adult ED (CT contrast)</w:t>
            </w:r>
          </w:p>
        </w:tc>
        <w:tc>
          <w:tcPr>
            <w:tcW w:w="992" w:type="dxa"/>
          </w:tcPr>
          <w:p w14:paraId="4D7562E6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291/29,217</w:t>
            </w:r>
          </w:p>
        </w:tc>
        <w:tc>
          <w:tcPr>
            <w:tcW w:w="1083" w:type="dxa"/>
          </w:tcPr>
          <w:p w14:paraId="2B5FF450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No</w:t>
            </w:r>
          </w:p>
        </w:tc>
        <w:tc>
          <w:tcPr>
            <w:tcW w:w="1162" w:type="dxa"/>
          </w:tcPr>
          <w:p w14:paraId="1B2C63FA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No</w:t>
            </w:r>
          </w:p>
        </w:tc>
        <w:tc>
          <w:tcPr>
            <w:tcW w:w="1162" w:type="dxa"/>
          </w:tcPr>
          <w:p w14:paraId="1104292B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33 months</w:t>
            </w:r>
          </w:p>
        </w:tc>
        <w:tc>
          <w:tcPr>
            <w:tcW w:w="1162" w:type="dxa"/>
          </w:tcPr>
          <w:p w14:paraId="67AC04B3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Contrast extravasation</w:t>
            </w:r>
          </w:p>
        </w:tc>
        <w:tc>
          <w:tcPr>
            <w:tcW w:w="1162" w:type="dxa"/>
          </w:tcPr>
          <w:p w14:paraId="4D3D3C11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4.1% vs 0.21% (RR 19.4, 10.6-35.6)</w:t>
            </w:r>
          </w:p>
        </w:tc>
      </w:tr>
      <w:tr w:rsidR="00B92350" w:rsidRPr="007835C1" w14:paraId="19675D20" w14:textId="77777777" w:rsidTr="00BF5A11">
        <w:trPr>
          <w:cantSplit/>
        </w:trPr>
        <w:tc>
          <w:tcPr>
            <w:tcW w:w="1413" w:type="dxa"/>
          </w:tcPr>
          <w:p w14:paraId="5591677D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Shokoohi H</w:t>
            </w:r>
            <w:r w:rsidR="00FD555C" w:rsidRPr="00EB0C2F">
              <w:rPr>
                <w:rFonts w:ascii="Times New Roman" w:hAnsi="Times New Roman" w:cs="Times New Roman"/>
                <w:sz w:val="24"/>
                <w:lang w:eastAsia="zh-TW"/>
              </w:rPr>
              <w:t xml:space="preserve"> [</w:t>
            </w:r>
            <w:r w:rsidR="005F11BC" w:rsidRPr="00EB0C2F">
              <w:rPr>
                <w:rFonts w:ascii="Times New Roman" w:hAnsi="Times New Roman" w:cs="Times New Roman"/>
                <w:sz w:val="24"/>
                <w:lang w:eastAsia="zh-TW"/>
              </w:rPr>
              <w:t>20</w:t>
            </w:r>
            <w:r w:rsidR="00FD555C" w:rsidRPr="00EB0C2F">
              <w:rPr>
                <w:rFonts w:ascii="Times New Roman" w:hAnsi="Times New Roman" w:cs="Times New Roman"/>
                <w:sz w:val="24"/>
                <w:lang w:eastAsia="zh-TW"/>
              </w:rPr>
              <w:t>]</w:t>
            </w:r>
          </w:p>
        </w:tc>
        <w:tc>
          <w:tcPr>
            <w:tcW w:w="709" w:type="dxa"/>
          </w:tcPr>
          <w:p w14:paraId="463C098A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2019</w:t>
            </w:r>
          </w:p>
        </w:tc>
        <w:tc>
          <w:tcPr>
            <w:tcW w:w="1134" w:type="dxa"/>
          </w:tcPr>
          <w:p w14:paraId="0846D8E4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USA</w:t>
            </w:r>
          </w:p>
        </w:tc>
        <w:tc>
          <w:tcPr>
            <w:tcW w:w="1134" w:type="dxa"/>
          </w:tcPr>
          <w:p w14:paraId="20FB4991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Prospective cohort</w:t>
            </w:r>
          </w:p>
        </w:tc>
        <w:tc>
          <w:tcPr>
            <w:tcW w:w="1417" w:type="dxa"/>
          </w:tcPr>
          <w:p w14:paraId="634215FE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Tertiary ED</w:t>
            </w:r>
          </w:p>
        </w:tc>
        <w:tc>
          <w:tcPr>
            <w:tcW w:w="1418" w:type="dxa"/>
          </w:tcPr>
          <w:p w14:paraId="795294B3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Adult ED (all access)</w:t>
            </w:r>
          </w:p>
        </w:tc>
        <w:tc>
          <w:tcPr>
            <w:tcW w:w="992" w:type="dxa"/>
          </w:tcPr>
          <w:p w14:paraId="701F98A7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182/148</w:t>
            </w:r>
          </w:p>
        </w:tc>
        <w:tc>
          <w:tcPr>
            <w:tcW w:w="1083" w:type="dxa"/>
          </w:tcPr>
          <w:p w14:paraId="073021CD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No</w:t>
            </w:r>
          </w:p>
        </w:tc>
        <w:tc>
          <w:tcPr>
            <w:tcW w:w="1162" w:type="dxa"/>
          </w:tcPr>
          <w:p w14:paraId="5C8D74EF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No</w:t>
            </w:r>
          </w:p>
        </w:tc>
        <w:tc>
          <w:tcPr>
            <w:tcW w:w="1162" w:type="dxa"/>
          </w:tcPr>
          <w:p w14:paraId="39CBEF42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72 hours</w:t>
            </w:r>
          </w:p>
        </w:tc>
        <w:tc>
          <w:tcPr>
            <w:tcW w:w="1162" w:type="dxa"/>
          </w:tcPr>
          <w:p w14:paraId="5FA6892C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Premature removal</w:t>
            </w:r>
          </w:p>
        </w:tc>
        <w:tc>
          <w:tcPr>
            <w:tcW w:w="1162" w:type="dxa"/>
          </w:tcPr>
          <w:p w14:paraId="12E940CB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27% vs 21% (RR 1.26, 0.88-1.80, NS)</w:t>
            </w:r>
          </w:p>
        </w:tc>
      </w:tr>
      <w:tr w:rsidR="00B92350" w:rsidRPr="007835C1" w14:paraId="46BD0532" w14:textId="77777777" w:rsidTr="00BF5A11">
        <w:trPr>
          <w:cantSplit/>
        </w:trPr>
        <w:tc>
          <w:tcPr>
            <w:tcW w:w="1413" w:type="dxa"/>
          </w:tcPr>
          <w:p w14:paraId="2D6C6300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Bridey C</w:t>
            </w:r>
            <w:r w:rsidR="00003D99" w:rsidRPr="00EB0C2F">
              <w:rPr>
                <w:rFonts w:ascii="Times New Roman" w:hAnsi="Times New Roman" w:cs="Times New Roman"/>
                <w:sz w:val="24"/>
                <w:lang w:eastAsia="zh-TW"/>
              </w:rPr>
              <w:t xml:space="preserve"> [</w:t>
            </w:r>
            <w:r w:rsidR="001031DC" w:rsidRPr="00EB0C2F">
              <w:rPr>
                <w:rFonts w:ascii="Times New Roman" w:hAnsi="Times New Roman" w:cs="Times New Roman"/>
                <w:sz w:val="24"/>
                <w:lang w:eastAsia="zh-TW"/>
              </w:rPr>
              <w:t>16</w:t>
            </w:r>
            <w:r w:rsidR="00003D99" w:rsidRPr="00EB0C2F">
              <w:rPr>
                <w:rFonts w:ascii="Times New Roman" w:hAnsi="Times New Roman" w:cs="Times New Roman"/>
                <w:sz w:val="24"/>
                <w:lang w:eastAsia="zh-TW"/>
              </w:rPr>
              <w:t>]</w:t>
            </w:r>
          </w:p>
        </w:tc>
        <w:tc>
          <w:tcPr>
            <w:tcW w:w="709" w:type="dxa"/>
          </w:tcPr>
          <w:p w14:paraId="321ED0B1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2018</w:t>
            </w:r>
          </w:p>
        </w:tc>
        <w:tc>
          <w:tcPr>
            <w:tcW w:w="1134" w:type="dxa"/>
          </w:tcPr>
          <w:p w14:paraId="6338DA09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France</w:t>
            </w:r>
          </w:p>
        </w:tc>
        <w:tc>
          <w:tcPr>
            <w:tcW w:w="1134" w:type="dxa"/>
          </w:tcPr>
          <w:p w14:paraId="17116CE7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RCT</w:t>
            </w:r>
          </w:p>
        </w:tc>
        <w:tc>
          <w:tcPr>
            <w:tcW w:w="1417" w:type="dxa"/>
          </w:tcPr>
          <w:p w14:paraId="128BA766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Tertiary ICU</w:t>
            </w:r>
          </w:p>
        </w:tc>
        <w:tc>
          <w:tcPr>
            <w:tcW w:w="1418" w:type="dxa"/>
          </w:tcPr>
          <w:p w14:paraId="12A1A07E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Adult ICU (DIVA)</w:t>
            </w:r>
          </w:p>
        </w:tc>
        <w:tc>
          <w:tcPr>
            <w:tcW w:w="992" w:type="dxa"/>
          </w:tcPr>
          <w:p w14:paraId="5D96AA3C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57/57</w:t>
            </w:r>
          </w:p>
        </w:tc>
        <w:tc>
          <w:tcPr>
            <w:tcW w:w="1083" w:type="dxa"/>
          </w:tcPr>
          <w:p w14:paraId="780D9CEE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Yes</w:t>
            </w:r>
          </w:p>
        </w:tc>
        <w:tc>
          <w:tcPr>
            <w:tcW w:w="1162" w:type="dxa"/>
          </w:tcPr>
          <w:p w14:paraId="3D4A4E32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No</w:t>
            </w:r>
          </w:p>
        </w:tc>
        <w:tc>
          <w:tcPr>
            <w:tcW w:w="1162" w:type="dxa"/>
          </w:tcPr>
          <w:p w14:paraId="66A6B831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Max 3 days</w:t>
            </w:r>
          </w:p>
        </w:tc>
        <w:tc>
          <w:tcPr>
            <w:tcW w:w="1162" w:type="dxa"/>
          </w:tcPr>
          <w:p w14:paraId="24F51C73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Catheter lifespan, extravasation</w:t>
            </w:r>
          </w:p>
        </w:tc>
        <w:tc>
          <w:tcPr>
            <w:tcW w:w="1162" w:type="dxa"/>
          </w:tcPr>
          <w:p w14:paraId="6A5129C9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Lifespan 3 vs 3 days (NS); Extravasation 34% vs 18% (p=0.094)</w:t>
            </w:r>
          </w:p>
        </w:tc>
      </w:tr>
      <w:tr w:rsidR="00B92350" w:rsidRPr="007835C1" w14:paraId="1D841090" w14:textId="77777777" w:rsidTr="00BF5A11">
        <w:trPr>
          <w:cantSplit/>
        </w:trPr>
        <w:tc>
          <w:tcPr>
            <w:tcW w:w="1413" w:type="dxa"/>
          </w:tcPr>
          <w:p w14:paraId="5C7D2EB2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Desai K</w:t>
            </w:r>
            <w:r w:rsidR="006D4815" w:rsidRPr="00EB0C2F">
              <w:rPr>
                <w:rFonts w:ascii="Times New Roman" w:hAnsi="Times New Roman" w:cs="Times New Roman"/>
                <w:sz w:val="24"/>
                <w:lang w:eastAsia="zh-TW"/>
              </w:rPr>
              <w:t xml:space="preserve"> [</w:t>
            </w:r>
            <w:r w:rsidR="00E4672A" w:rsidRPr="00EB0C2F">
              <w:rPr>
                <w:rFonts w:ascii="Times New Roman" w:hAnsi="Times New Roman" w:cs="Times New Roman"/>
                <w:sz w:val="24"/>
                <w:lang w:eastAsia="zh-TW"/>
              </w:rPr>
              <w:t>14</w:t>
            </w:r>
            <w:r w:rsidR="006D4815" w:rsidRPr="00EB0C2F">
              <w:rPr>
                <w:rFonts w:ascii="Times New Roman" w:hAnsi="Times New Roman" w:cs="Times New Roman"/>
                <w:sz w:val="24"/>
                <w:lang w:eastAsia="zh-TW"/>
              </w:rPr>
              <w:t>]</w:t>
            </w:r>
          </w:p>
        </w:tc>
        <w:tc>
          <w:tcPr>
            <w:tcW w:w="709" w:type="dxa"/>
          </w:tcPr>
          <w:p w14:paraId="49755335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2018</w:t>
            </w:r>
          </w:p>
        </w:tc>
        <w:tc>
          <w:tcPr>
            <w:tcW w:w="1134" w:type="dxa"/>
          </w:tcPr>
          <w:p w14:paraId="3505EB5A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USA</w:t>
            </w:r>
          </w:p>
        </w:tc>
        <w:tc>
          <w:tcPr>
            <w:tcW w:w="1134" w:type="dxa"/>
          </w:tcPr>
          <w:p w14:paraId="3F22A008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Retrospective cohort</w:t>
            </w:r>
          </w:p>
        </w:tc>
        <w:tc>
          <w:tcPr>
            <w:tcW w:w="1417" w:type="dxa"/>
          </w:tcPr>
          <w:p w14:paraId="2E621F8F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Pediatric ED</w:t>
            </w:r>
          </w:p>
        </w:tc>
        <w:tc>
          <w:tcPr>
            <w:tcW w:w="1418" w:type="dxa"/>
          </w:tcPr>
          <w:p w14:paraId="056183D3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Pediatric ED</w:t>
            </w:r>
          </w:p>
        </w:tc>
        <w:tc>
          <w:tcPr>
            <w:tcW w:w="992" w:type="dxa"/>
          </w:tcPr>
          <w:p w14:paraId="090AE516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160/363</w:t>
            </w:r>
          </w:p>
        </w:tc>
        <w:tc>
          <w:tcPr>
            <w:tcW w:w="1083" w:type="dxa"/>
          </w:tcPr>
          <w:p w14:paraId="02032FA6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No</w:t>
            </w:r>
          </w:p>
        </w:tc>
        <w:tc>
          <w:tcPr>
            <w:tcW w:w="1162" w:type="dxa"/>
          </w:tcPr>
          <w:p w14:paraId="4F479EB0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Yes*</w:t>
            </w:r>
          </w:p>
        </w:tc>
        <w:tc>
          <w:tcPr>
            <w:tcW w:w="1162" w:type="dxa"/>
          </w:tcPr>
          <w:p w14:paraId="099FA64D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Until removal</w:t>
            </w:r>
          </w:p>
        </w:tc>
        <w:tc>
          <w:tcPr>
            <w:tcW w:w="1162" w:type="dxa"/>
          </w:tcPr>
          <w:p w14:paraId="4CBB92B7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Dwell time, complications</w:t>
            </w:r>
          </w:p>
        </w:tc>
        <w:tc>
          <w:tcPr>
            <w:tcW w:w="1162" w:type="dxa"/>
          </w:tcPr>
          <w:p w14:paraId="52F85FE7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KM median 143 vs 89h (p&lt;0.001); Complications 34% vs 32% (NS)</w:t>
            </w:r>
          </w:p>
        </w:tc>
      </w:tr>
      <w:tr w:rsidR="00B92350" w:rsidRPr="007835C1" w14:paraId="7D20DF96" w14:textId="77777777" w:rsidTr="00BF5A11">
        <w:trPr>
          <w:cantSplit/>
        </w:trPr>
        <w:tc>
          <w:tcPr>
            <w:tcW w:w="1413" w:type="dxa"/>
          </w:tcPr>
          <w:p w14:paraId="6E7C3083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Paladini A</w:t>
            </w:r>
            <w:r w:rsidR="002252B0" w:rsidRPr="00EB0C2F">
              <w:rPr>
                <w:rFonts w:ascii="Times New Roman" w:hAnsi="Times New Roman" w:cs="Times New Roman"/>
                <w:sz w:val="24"/>
                <w:lang w:eastAsia="zh-TW"/>
              </w:rPr>
              <w:t xml:space="preserve"> [</w:t>
            </w:r>
            <w:r w:rsidR="006741E0" w:rsidRPr="00EB0C2F">
              <w:rPr>
                <w:rFonts w:ascii="Times New Roman" w:hAnsi="Times New Roman" w:cs="Times New Roman"/>
                <w:sz w:val="24"/>
                <w:lang w:eastAsia="zh-TW"/>
              </w:rPr>
              <w:t>23</w:t>
            </w:r>
            <w:r w:rsidR="002252B0" w:rsidRPr="00EB0C2F">
              <w:rPr>
                <w:rFonts w:ascii="Times New Roman" w:hAnsi="Times New Roman" w:cs="Times New Roman"/>
                <w:sz w:val="24"/>
                <w:lang w:eastAsia="zh-TW"/>
              </w:rPr>
              <w:t>]</w:t>
            </w:r>
          </w:p>
        </w:tc>
        <w:tc>
          <w:tcPr>
            <w:tcW w:w="709" w:type="dxa"/>
          </w:tcPr>
          <w:p w14:paraId="2D5E0761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2018</w:t>
            </w:r>
          </w:p>
        </w:tc>
        <w:tc>
          <w:tcPr>
            <w:tcW w:w="1134" w:type="dxa"/>
          </w:tcPr>
          <w:p w14:paraId="0B4DDC66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Italy</w:t>
            </w:r>
          </w:p>
        </w:tc>
        <w:tc>
          <w:tcPr>
            <w:tcW w:w="1134" w:type="dxa"/>
          </w:tcPr>
          <w:p w14:paraId="450CE575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Prospective cohort</w:t>
            </w:r>
          </w:p>
        </w:tc>
        <w:tc>
          <w:tcPr>
            <w:tcW w:w="1417" w:type="dxa"/>
          </w:tcPr>
          <w:p w14:paraId="1ACBA062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Pediatric ED</w:t>
            </w:r>
          </w:p>
        </w:tc>
        <w:tc>
          <w:tcPr>
            <w:tcW w:w="1418" w:type="dxa"/>
          </w:tcPr>
          <w:p w14:paraId="10D49224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Pediatric ED (DIVA) &gt;10y</w:t>
            </w:r>
          </w:p>
        </w:tc>
        <w:tc>
          <w:tcPr>
            <w:tcW w:w="992" w:type="dxa"/>
          </w:tcPr>
          <w:p w14:paraId="45F72DF1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20/20</w:t>
            </w:r>
          </w:p>
        </w:tc>
        <w:tc>
          <w:tcPr>
            <w:tcW w:w="1083" w:type="dxa"/>
          </w:tcPr>
          <w:p w14:paraId="36AA5F9A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Yes</w:t>
            </w:r>
          </w:p>
        </w:tc>
        <w:tc>
          <w:tcPr>
            <w:tcW w:w="1162" w:type="dxa"/>
          </w:tcPr>
          <w:p w14:paraId="412263BF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Yes*</w:t>
            </w:r>
          </w:p>
        </w:tc>
        <w:tc>
          <w:tcPr>
            <w:tcW w:w="1162" w:type="dxa"/>
          </w:tcPr>
          <w:p w14:paraId="5F597731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Until removal</w:t>
            </w:r>
          </w:p>
        </w:tc>
        <w:tc>
          <w:tcPr>
            <w:tcW w:w="1162" w:type="dxa"/>
          </w:tcPr>
          <w:p w14:paraId="063E86B8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Dwell time, complications</w:t>
            </w:r>
          </w:p>
        </w:tc>
        <w:tc>
          <w:tcPr>
            <w:tcW w:w="1162" w:type="dxa"/>
          </w:tcPr>
          <w:p w14:paraId="27C2F43F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Dwell 9.2±6.0 vs 3.2±2.1 days (p&lt;0.0001)</w:t>
            </w:r>
          </w:p>
        </w:tc>
      </w:tr>
      <w:tr w:rsidR="00B92350" w:rsidRPr="007835C1" w14:paraId="5AA33E7D" w14:textId="77777777" w:rsidTr="00BF5A11">
        <w:trPr>
          <w:cantSplit/>
        </w:trPr>
        <w:tc>
          <w:tcPr>
            <w:tcW w:w="1413" w:type="dxa"/>
          </w:tcPr>
          <w:p w14:paraId="712E815D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Avelar AF [5]</w:t>
            </w:r>
          </w:p>
        </w:tc>
        <w:tc>
          <w:tcPr>
            <w:tcW w:w="709" w:type="dxa"/>
          </w:tcPr>
          <w:p w14:paraId="2025C100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2015</w:t>
            </w:r>
          </w:p>
        </w:tc>
        <w:tc>
          <w:tcPr>
            <w:tcW w:w="1134" w:type="dxa"/>
          </w:tcPr>
          <w:p w14:paraId="6369EC59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Brazil</w:t>
            </w:r>
          </w:p>
        </w:tc>
        <w:tc>
          <w:tcPr>
            <w:tcW w:w="1134" w:type="dxa"/>
          </w:tcPr>
          <w:p w14:paraId="719CF9E1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RCT</w:t>
            </w:r>
          </w:p>
        </w:tc>
        <w:tc>
          <w:tcPr>
            <w:tcW w:w="1417" w:type="dxa"/>
          </w:tcPr>
          <w:p w14:paraId="2E2B2DFE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Pediatric surgical unit</w:t>
            </w:r>
          </w:p>
        </w:tc>
        <w:tc>
          <w:tcPr>
            <w:tcW w:w="1418" w:type="dxa"/>
          </w:tcPr>
          <w:p w14:paraId="4990297D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Pediatric (12 d–17 y)</w:t>
            </w:r>
          </w:p>
        </w:tc>
        <w:tc>
          <w:tcPr>
            <w:tcW w:w="992" w:type="dxa"/>
          </w:tcPr>
          <w:p w14:paraId="3A946D70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188/194</w:t>
            </w:r>
          </w:p>
        </w:tc>
        <w:tc>
          <w:tcPr>
            <w:tcW w:w="1083" w:type="dxa"/>
          </w:tcPr>
          <w:p w14:paraId="6B373109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No</w:t>
            </w:r>
          </w:p>
        </w:tc>
        <w:tc>
          <w:tcPr>
            <w:tcW w:w="1162" w:type="dxa"/>
          </w:tcPr>
          <w:p w14:paraId="3F610DD2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No</w:t>
            </w:r>
          </w:p>
        </w:tc>
        <w:tc>
          <w:tcPr>
            <w:tcW w:w="1162" w:type="dxa"/>
          </w:tcPr>
          <w:p w14:paraId="095C0C55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color w:val="C00000"/>
                <w:sz w:val="24"/>
              </w:rPr>
              <w:t>To catheter removal</w:t>
            </w:r>
          </w:p>
        </w:tc>
        <w:tc>
          <w:tcPr>
            <w:tcW w:w="1162" w:type="dxa"/>
          </w:tcPr>
          <w:p w14:paraId="2B51C098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color w:val="C00000"/>
                <w:sz w:val="24"/>
              </w:rPr>
              <w:t>Infiltration, phlebitis</w:t>
            </w:r>
          </w:p>
        </w:tc>
        <w:tc>
          <w:tcPr>
            <w:tcW w:w="1162" w:type="dxa"/>
          </w:tcPr>
          <w:p w14:paraId="7A564508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color w:val="C00000"/>
                <w:sz w:val="24"/>
              </w:rPr>
              <w:t>Higher infiltration with USG (34/161 vs 23/178; P=.025); phlebitis NS (2/161 vs 7/178); identical 19-mm catheters both arms</w:t>
            </w:r>
          </w:p>
        </w:tc>
      </w:tr>
      <w:tr w:rsidR="00B92350" w:rsidRPr="007835C1" w14:paraId="571C86F2" w14:textId="77777777" w:rsidTr="00BF5A11">
        <w:trPr>
          <w:cantSplit/>
        </w:trPr>
        <w:tc>
          <w:tcPr>
            <w:tcW w:w="1413" w:type="dxa"/>
          </w:tcPr>
          <w:p w14:paraId="43A1218B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Saltarelli NA</w:t>
            </w:r>
            <w:r w:rsidR="002252B0" w:rsidRPr="00EB0C2F">
              <w:rPr>
                <w:rFonts w:ascii="Times New Roman" w:hAnsi="Times New Roman" w:cs="Times New Roman"/>
                <w:sz w:val="24"/>
                <w:lang w:eastAsia="zh-TW"/>
              </w:rPr>
              <w:t xml:space="preserve"> </w:t>
            </w:r>
            <w:r w:rsidR="00E81EF9" w:rsidRPr="00EB0C2F">
              <w:rPr>
                <w:rFonts w:ascii="Times New Roman" w:hAnsi="Times New Roman" w:cs="Times New Roman"/>
                <w:sz w:val="24"/>
                <w:lang w:eastAsia="zh-TW"/>
              </w:rPr>
              <w:t>[</w:t>
            </w:r>
            <w:r w:rsidR="006741E0" w:rsidRPr="00EB0C2F">
              <w:rPr>
                <w:rFonts w:ascii="Times New Roman" w:hAnsi="Times New Roman" w:cs="Times New Roman"/>
                <w:sz w:val="24"/>
                <w:lang w:eastAsia="zh-TW"/>
              </w:rPr>
              <w:t>26</w:t>
            </w:r>
            <w:r w:rsidR="002252B0" w:rsidRPr="00EB0C2F">
              <w:rPr>
                <w:rFonts w:ascii="Times New Roman" w:hAnsi="Times New Roman" w:cs="Times New Roman"/>
                <w:sz w:val="24"/>
                <w:lang w:eastAsia="zh-TW"/>
              </w:rPr>
              <w:t>]</w:t>
            </w:r>
          </w:p>
        </w:tc>
        <w:tc>
          <w:tcPr>
            <w:tcW w:w="709" w:type="dxa"/>
          </w:tcPr>
          <w:p w14:paraId="1790AD10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2015</w:t>
            </w:r>
          </w:p>
        </w:tc>
        <w:tc>
          <w:tcPr>
            <w:tcW w:w="1134" w:type="dxa"/>
          </w:tcPr>
          <w:p w14:paraId="244BF0F1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USA</w:t>
            </w:r>
          </w:p>
        </w:tc>
        <w:tc>
          <w:tcPr>
            <w:tcW w:w="1134" w:type="dxa"/>
          </w:tcPr>
          <w:p w14:paraId="106714E3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Retrospective cohort</w:t>
            </w:r>
          </w:p>
        </w:tc>
        <w:tc>
          <w:tcPr>
            <w:tcW w:w="1417" w:type="dxa"/>
          </w:tcPr>
          <w:p w14:paraId="5D98F8F1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Tertiary ED</w:t>
            </w:r>
          </w:p>
        </w:tc>
        <w:tc>
          <w:tcPr>
            <w:tcW w:w="1418" w:type="dxa"/>
          </w:tcPr>
          <w:p w14:paraId="50932365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Adult ED (DIVA)</w:t>
            </w:r>
          </w:p>
        </w:tc>
        <w:tc>
          <w:tcPr>
            <w:tcW w:w="992" w:type="dxa"/>
          </w:tcPr>
          <w:p w14:paraId="37C1BE79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885/1,803</w:t>
            </w:r>
          </w:p>
        </w:tc>
        <w:tc>
          <w:tcPr>
            <w:tcW w:w="1083" w:type="dxa"/>
          </w:tcPr>
          <w:p w14:paraId="1EB4E733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Yes</w:t>
            </w:r>
          </w:p>
        </w:tc>
        <w:tc>
          <w:tcPr>
            <w:tcW w:w="1162" w:type="dxa"/>
          </w:tcPr>
          <w:p w14:paraId="1D164EB2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No</w:t>
            </w:r>
          </w:p>
        </w:tc>
        <w:tc>
          <w:tcPr>
            <w:tcW w:w="1162" w:type="dxa"/>
          </w:tcPr>
          <w:p w14:paraId="7BD5BADB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 xml:space="preserve">Hospital </w:t>
            </w:r>
            <w:proofErr w:type="gramStart"/>
            <w:r w:rsidRPr="00EB0C2F">
              <w:rPr>
                <w:rFonts w:ascii="Times New Roman" w:hAnsi="Times New Roman" w:cs="Times New Roman"/>
                <w:sz w:val="24"/>
              </w:rPr>
              <w:t>stay</w:t>
            </w:r>
            <w:proofErr w:type="gramEnd"/>
          </w:p>
        </w:tc>
        <w:tc>
          <w:tcPr>
            <w:tcW w:w="1162" w:type="dxa"/>
          </w:tcPr>
          <w:p w14:paraId="516E6C9A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Infiltration</w:t>
            </w:r>
          </w:p>
        </w:tc>
        <w:tc>
          <w:tcPr>
            <w:tcW w:w="1162" w:type="dxa"/>
          </w:tcPr>
          <w:p w14:paraId="14493254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7.6% vs 5.9% (OR 1.31, 0.92-1.88, NS)</w:t>
            </w:r>
          </w:p>
        </w:tc>
      </w:tr>
      <w:tr w:rsidR="00B92350" w:rsidRPr="007835C1" w14:paraId="091F3304" w14:textId="77777777" w:rsidTr="00BF5A11">
        <w:trPr>
          <w:cantSplit/>
        </w:trPr>
        <w:tc>
          <w:tcPr>
            <w:tcW w:w="13948" w:type="dxa"/>
            <w:gridSpan w:val="12"/>
          </w:tcPr>
          <w:p w14:paraId="7C71E839" w14:textId="77777777" w:rsidR="00B92350" w:rsidRPr="00EB0C2F" w:rsidRDefault="00B92350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*USG group used systematically longer catheters than landmark group; results confounded by catheter length/type.</w:t>
            </w:r>
          </w:p>
          <w:p w14:paraId="38E6CBA4" w14:textId="77777777" w:rsidR="007D529F" w:rsidRPr="00EB0C2F" w:rsidRDefault="00A83FF0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EB0C2F">
              <w:rPr>
                <w:rFonts w:ascii="Times New Roman" w:hAnsi="Times New Roman" w:cs="Times New Roman"/>
                <w:sz w:val="24"/>
              </w:rPr>
              <w:t>Avelar 2015 randomized 382 venipunctures (188 ultrasound-guided / 194 landmark) in 335 children; post-insertion complications were analyzed among the 339 catheters successfully placed (161 ultrasound-guided / 178 landmark). The 188/194 venipuncture counts are shown here and in the participant total; the 161/178 catheter counts are the denominators used in the infiltration meta-analysis.</w:t>
            </w:r>
          </w:p>
        </w:tc>
      </w:tr>
    </w:tbl>
    <w:p w14:paraId="0CF4CB2A" w14:textId="77777777" w:rsidR="00B31A9F" w:rsidRPr="00B92350" w:rsidRDefault="00B31A9F"/>
    <w:sectPr w:rsidR="00B31A9F" w:rsidRPr="00B92350" w:rsidSect="00B92350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C5F8C7" w14:textId="77777777" w:rsidR="00A364A3" w:rsidRDefault="00A364A3" w:rsidP="003F028C">
      <w:r>
        <w:separator/>
      </w:r>
    </w:p>
  </w:endnote>
  <w:endnote w:type="continuationSeparator" w:id="0">
    <w:p w14:paraId="1F67F2A6" w14:textId="77777777" w:rsidR="00A364A3" w:rsidRDefault="00A364A3" w:rsidP="003F02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F8FE86" w14:textId="77777777" w:rsidR="00A364A3" w:rsidRDefault="00A364A3" w:rsidP="003F028C">
      <w:r>
        <w:separator/>
      </w:r>
    </w:p>
  </w:footnote>
  <w:footnote w:type="continuationSeparator" w:id="0">
    <w:p w14:paraId="7B43D6A0" w14:textId="77777777" w:rsidR="00A364A3" w:rsidRDefault="00A364A3" w:rsidP="003F02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350"/>
    <w:rsid w:val="00003D99"/>
    <w:rsid w:val="00043A63"/>
    <w:rsid w:val="001031DC"/>
    <w:rsid w:val="00154310"/>
    <w:rsid w:val="002156E4"/>
    <w:rsid w:val="002252B0"/>
    <w:rsid w:val="00386779"/>
    <w:rsid w:val="003C1425"/>
    <w:rsid w:val="003F028C"/>
    <w:rsid w:val="003F67E7"/>
    <w:rsid w:val="0040159D"/>
    <w:rsid w:val="00595059"/>
    <w:rsid w:val="005B2560"/>
    <w:rsid w:val="005F11BC"/>
    <w:rsid w:val="006741E0"/>
    <w:rsid w:val="006C1586"/>
    <w:rsid w:val="006D11CD"/>
    <w:rsid w:val="006D4815"/>
    <w:rsid w:val="007D529F"/>
    <w:rsid w:val="009455A1"/>
    <w:rsid w:val="00951BD2"/>
    <w:rsid w:val="00A364A3"/>
    <w:rsid w:val="00A83FF0"/>
    <w:rsid w:val="00B31A9F"/>
    <w:rsid w:val="00B92350"/>
    <w:rsid w:val="00E4672A"/>
    <w:rsid w:val="00E81EF9"/>
    <w:rsid w:val="00EB0C2F"/>
    <w:rsid w:val="00F82682"/>
    <w:rsid w:val="00FD5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FDD747"/>
  <w15:chartTrackingRefBased/>
  <w15:docId w15:val="{05BDF284-5A89-48BD-9D9D-3152E5FE2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2350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mpact">
    <w:name w:val="Compact"/>
    <w:basedOn w:val="a3"/>
    <w:qFormat/>
    <w:rsid w:val="00B92350"/>
    <w:pPr>
      <w:widowControl/>
      <w:spacing w:before="36" w:after="36"/>
    </w:pPr>
    <w:rPr>
      <w:kern w:val="0"/>
      <w:szCs w:val="24"/>
      <w:lang w:eastAsia="en-US"/>
    </w:rPr>
  </w:style>
  <w:style w:type="table" w:customStyle="1" w:styleId="Table">
    <w:name w:val="Table"/>
    <w:semiHidden/>
    <w:unhideWhenUsed/>
    <w:qFormat/>
    <w:rsid w:val="00B92350"/>
    <w:pPr>
      <w:spacing w:after="200"/>
    </w:pPr>
    <w:rPr>
      <w:kern w:val="0"/>
      <w:sz w:val="20"/>
      <w:szCs w:val="24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a3">
    <w:name w:val="Body Text"/>
    <w:basedOn w:val="a"/>
    <w:link w:val="a4"/>
    <w:uiPriority w:val="99"/>
    <w:semiHidden/>
    <w:unhideWhenUsed/>
    <w:rsid w:val="00B92350"/>
    <w:pPr>
      <w:spacing w:after="120"/>
    </w:pPr>
  </w:style>
  <w:style w:type="character" w:customStyle="1" w:styleId="a4">
    <w:name w:val="本文 字元"/>
    <w:basedOn w:val="a0"/>
    <w:link w:val="a3"/>
    <w:uiPriority w:val="99"/>
    <w:semiHidden/>
    <w:rsid w:val="00B92350"/>
  </w:style>
  <w:style w:type="character" w:styleId="a5">
    <w:name w:val="Strong"/>
    <w:basedOn w:val="a0"/>
    <w:uiPriority w:val="22"/>
    <w:qFormat/>
    <w:rsid w:val="00F82682"/>
    <w:rPr>
      <w:b/>
      <w:bCs/>
    </w:rPr>
  </w:style>
  <w:style w:type="paragraph" w:styleId="a6">
    <w:name w:val="header"/>
    <w:basedOn w:val="a"/>
    <w:link w:val="a7"/>
    <w:uiPriority w:val="99"/>
    <w:unhideWhenUsed/>
    <w:rsid w:val="003F028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3F028C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3F028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3F028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506</Words>
  <Characters>2886</Characters>
  <Application>Microsoft Office Word</Application>
  <DocSecurity>0</DocSecurity>
  <Lines>24</Lines>
  <Paragraphs>6</Paragraphs>
  <ScaleCrop>false</ScaleCrop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陳柏銘</dc:creator>
  <cp:keywords/>
  <dc:description/>
  <cp:lastModifiedBy>陳柏銘</cp:lastModifiedBy>
  <cp:revision>8</cp:revision>
  <dcterms:created xsi:type="dcterms:W3CDTF">2026-05-13T08:03:00Z</dcterms:created>
  <dcterms:modified xsi:type="dcterms:W3CDTF">2026-06-08T08:14:00Z</dcterms:modified>
</cp:coreProperties>
</file>