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7D38D" w14:textId="77777777" w:rsidR="003C5087" w:rsidRPr="007D7E76" w:rsidRDefault="00E2355C">
      <w:pPr>
        <w:rPr>
          <w:rFonts w:ascii="Times New Roman" w:hAnsi="Times New Roman" w:cs="Times New Roman"/>
          <w:b/>
          <w:bCs/>
          <w:sz w:val="24"/>
          <w:szCs w:val="24"/>
        </w:rPr>
      </w:pPr>
      <w:r w:rsidRPr="007D7E76">
        <w:rPr>
          <w:rFonts w:ascii="Times New Roman" w:hAnsi="Times New Roman" w:cs="Times New Roman"/>
          <w:b/>
          <w:bCs/>
          <w:sz w:val="24"/>
          <w:szCs w:val="24"/>
        </w:rPr>
        <w:t>Post-insertion outcomes of ultrasound-guided versus landmark peripheral intravenous catheters: a systematic review and meta-analysis</w:t>
      </w:r>
    </w:p>
    <w:p w14:paraId="6DFBB6A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Tai-An Lee, MD</w:t>
      </w:r>
      <w:proofErr w:type="gramStart"/>
      <w:r w:rsidRPr="007D7E76">
        <w:rPr>
          <w:rFonts w:ascii="Times New Roman" w:hAnsi="Times New Roman" w:cs="Times New Roman"/>
          <w:sz w:val="24"/>
          <w:szCs w:val="24"/>
          <w:vertAlign w:val="superscript"/>
        </w:rPr>
        <w:t>1,†</w:t>
      </w:r>
      <w:proofErr w:type="gramEnd"/>
      <w:r w:rsidRPr="007D7E76">
        <w:rPr>
          <w:rFonts w:ascii="Times New Roman" w:hAnsi="Times New Roman" w:cs="Times New Roman"/>
          <w:sz w:val="24"/>
          <w:szCs w:val="24"/>
        </w:rPr>
        <w:t>, Yu-Ling Wang</w:t>
      </w: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 Jen-Tao Lin</w:t>
      </w: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 Po-Ming Chen</w:t>
      </w:r>
      <w:r w:rsidRPr="007D7E76">
        <w:rPr>
          <w:rFonts w:ascii="Times New Roman" w:hAnsi="Times New Roman" w:cs="Times New Roman"/>
          <w:sz w:val="24"/>
          <w:szCs w:val="24"/>
          <w:vertAlign w:val="superscript"/>
        </w:rPr>
        <w:t>4, 5</w:t>
      </w:r>
      <w:r w:rsidRPr="007D7E76">
        <w:rPr>
          <w:rFonts w:ascii="Times New Roman" w:hAnsi="Times New Roman" w:cs="Times New Roman"/>
          <w:sz w:val="24"/>
          <w:szCs w:val="24"/>
        </w:rPr>
        <w:t xml:space="preserve">, Chia-Ching Chen1, </w:t>
      </w:r>
      <w:r w:rsidRPr="007D7E76">
        <w:rPr>
          <w:rFonts w:ascii="Times New Roman" w:hAnsi="Times New Roman" w:cs="Times New Roman"/>
          <w:sz w:val="24"/>
          <w:szCs w:val="24"/>
          <w:vertAlign w:val="superscript"/>
        </w:rPr>
        <w:t>6*</w:t>
      </w:r>
    </w:p>
    <w:p w14:paraId="6C9B8E11" w14:textId="238349FB"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1</w:t>
      </w:r>
      <w:r w:rsidRPr="007D7E76">
        <w:rPr>
          <w:rFonts w:ascii="Times New Roman" w:hAnsi="Times New Roman" w:cs="Times New Roman"/>
          <w:sz w:val="24"/>
          <w:szCs w:val="24"/>
        </w:rPr>
        <w:t>Department of Emergency Medicine, Chang Bing Show Chwan Memorial Hospital</w:t>
      </w:r>
    </w:p>
    <w:p w14:paraId="26A61B30" w14:textId="7EB9DD99"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2</w:t>
      </w:r>
      <w:r w:rsidRPr="007D7E76">
        <w:rPr>
          <w:rFonts w:ascii="Times New Roman" w:hAnsi="Times New Roman" w:cs="Times New Roman"/>
          <w:sz w:val="24"/>
          <w:szCs w:val="24"/>
        </w:rPr>
        <w:t>Department of Gastroenterology, Chang Bing Show Chwan Memorial Hospital</w:t>
      </w:r>
    </w:p>
    <w:p w14:paraId="4D6DC1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3</w:t>
      </w:r>
      <w:r w:rsidRPr="007D7E76">
        <w:rPr>
          <w:rFonts w:ascii="Times New Roman" w:hAnsi="Times New Roman" w:cs="Times New Roman"/>
          <w:sz w:val="24"/>
          <w:szCs w:val="24"/>
        </w:rPr>
        <w:t>Department of Surgery, Show Chwan Memorial Hospital, Changhua, Taiwan, R.O.C.</w:t>
      </w:r>
    </w:p>
    <w:p w14:paraId="06A1526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4</w:t>
      </w:r>
      <w:r w:rsidRPr="007D7E76">
        <w:rPr>
          <w:rFonts w:ascii="Times New Roman" w:hAnsi="Times New Roman" w:cs="Times New Roman"/>
          <w:sz w:val="24"/>
          <w:szCs w:val="24"/>
        </w:rPr>
        <w:t xml:space="preserve">Research Assistant Center, Show Chwan Memorial Hospital, Changhua, Taiwan </w:t>
      </w:r>
    </w:p>
    <w:p w14:paraId="75E305E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5</w:t>
      </w:r>
      <w:r w:rsidRPr="007D7E76">
        <w:rPr>
          <w:rFonts w:ascii="Times New Roman" w:hAnsi="Times New Roman" w:cs="Times New Roman"/>
          <w:sz w:val="24"/>
          <w:szCs w:val="24"/>
        </w:rPr>
        <w:t>Department of Nursing, Central Taiwan University of Science and Technology, Taichung, Taiwan</w:t>
      </w:r>
    </w:p>
    <w:p w14:paraId="2166F3A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vertAlign w:val="superscript"/>
        </w:rPr>
        <w:t>6</w:t>
      </w:r>
      <w:r w:rsidRPr="007D7E76">
        <w:rPr>
          <w:rFonts w:ascii="Times New Roman" w:hAnsi="Times New Roman" w:cs="Times New Roman"/>
          <w:sz w:val="24"/>
          <w:szCs w:val="24"/>
        </w:rPr>
        <w:t xml:space="preserve"> Institute for Research into Cancer of the Digestive System (IRCAD) - Taiwan and Asian Institute of TeleSurgery, Show Chwan Health Care System, Changhua, Taiwan</w:t>
      </w:r>
    </w:p>
    <w:p w14:paraId="059EC52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Running title: Ultrasound vs Landmark PIVC Outcomes</w:t>
      </w:r>
    </w:p>
    <w:p w14:paraId="36FE67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Corresponding Author: Chia-Ching Chen</w:t>
      </w:r>
    </w:p>
    <w:p w14:paraId="58E0D5E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Department of Emergency Medicine, Chang Bing Show Chwan Memorial Hospital, No. 6 Lugong Road. Lukang Zhen, Changhua County, Taiwan, ROC</w:t>
      </w:r>
    </w:p>
    <w:p w14:paraId="447ABB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Tel: +886-4-7813888 ext:71299</w:t>
      </w:r>
    </w:p>
    <w:p w14:paraId="3381EE3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E-mail: medlife.c11g@gmail.com</w:t>
      </w:r>
    </w:p>
    <w:p w14:paraId="1A9BE38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†These authors contributed equally to this work</w:t>
      </w:r>
    </w:p>
    <w:p w14:paraId="79168288" w14:textId="77777777" w:rsidR="007D7E76" w:rsidRDefault="007D7E76">
      <w:pPr>
        <w:rPr>
          <w:rFonts w:ascii="Times New Roman" w:hAnsi="Times New Roman" w:cs="Times New Roman"/>
          <w:b/>
          <w:sz w:val="24"/>
          <w:szCs w:val="24"/>
        </w:rPr>
      </w:pPr>
    </w:p>
    <w:p w14:paraId="1850AD02" w14:textId="77777777" w:rsidR="007D7E76" w:rsidRDefault="007D7E76">
      <w:pPr>
        <w:rPr>
          <w:rFonts w:ascii="Times New Roman" w:hAnsi="Times New Roman" w:cs="Times New Roman"/>
          <w:b/>
          <w:sz w:val="24"/>
          <w:szCs w:val="24"/>
        </w:rPr>
      </w:pPr>
    </w:p>
    <w:p w14:paraId="165FF741" w14:textId="77777777" w:rsidR="007D7E76" w:rsidRDefault="007D7E76">
      <w:pPr>
        <w:rPr>
          <w:rFonts w:ascii="Times New Roman" w:hAnsi="Times New Roman" w:cs="Times New Roman"/>
          <w:b/>
          <w:sz w:val="24"/>
          <w:szCs w:val="24"/>
        </w:rPr>
      </w:pPr>
    </w:p>
    <w:p w14:paraId="7ECD50B1" w14:textId="77777777" w:rsidR="007D7E76" w:rsidRDefault="007D7E76">
      <w:pPr>
        <w:rPr>
          <w:rFonts w:ascii="Times New Roman" w:hAnsi="Times New Roman" w:cs="Times New Roman"/>
          <w:b/>
          <w:sz w:val="24"/>
          <w:szCs w:val="24"/>
        </w:rPr>
      </w:pPr>
    </w:p>
    <w:p w14:paraId="27C0BA57" w14:textId="77777777" w:rsidR="007D7E76" w:rsidRDefault="007D7E76">
      <w:pPr>
        <w:rPr>
          <w:rFonts w:ascii="Times New Roman" w:hAnsi="Times New Roman" w:cs="Times New Roman"/>
          <w:b/>
          <w:sz w:val="24"/>
          <w:szCs w:val="24"/>
        </w:rPr>
      </w:pPr>
    </w:p>
    <w:p w14:paraId="0C5ABBF3" w14:textId="77777777" w:rsidR="007D7E76" w:rsidRDefault="007D7E76">
      <w:pPr>
        <w:rPr>
          <w:rFonts w:ascii="Times New Roman" w:hAnsi="Times New Roman" w:cs="Times New Roman"/>
          <w:b/>
          <w:sz w:val="24"/>
          <w:szCs w:val="24"/>
        </w:rPr>
      </w:pPr>
    </w:p>
    <w:p w14:paraId="7AF9F584" w14:textId="77777777" w:rsidR="007D7E76" w:rsidRDefault="007D7E76">
      <w:pPr>
        <w:rPr>
          <w:rFonts w:ascii="Times New Roman" w:hAnsi="Times New Roman" w:cs="Times New Roman"/>
          <w:b/>
          <w:sz w:val="24"/>
          <w:szCs w:val="24"/>
        </w:rPr>
      </w:pPr>
    </w:p>
    <w:p w14:paraId="339A9A36" w14:textId="77777777" w:rsidR="007D7E76" w:rsidRDefault="007D7E76">
      <w:pPr>
        <w:rPr>
          <w:rFonts w:ascii="Times New Roman" w:hAnsi="Times New Roman" w:cs="Times New Roman"/>
          <w:b/>
          <w:sz w:val="24"/>
          <w:szCs w:val="24"/>
        </w:rPr>
      </w:pPr>
    </w:p>
    <w:p w14:paraId="6973C8EB" w14:textId="624CB3CD"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lastRenderedPageBreak/>
        <w:t>Abstract</w:t>
      </w:r>
    </w:p>
    <w:p w14:paraId="547B48DF" w14:textId="77777777" w:rsid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Background:</w:t>
      </w:r>
      <w:r w:rsidRPr="007D7E76">
        <w:rPr>
          <w:rFonts w:ascii="Times New Roman" w:hAnsi="Times New Roman" w:cs="Times New Roman"/>
          <w:sz w:val="24"/>
          <w:szCs w:val="24"/>
        </w:rPr>
        <w:t xml:space="preserve"> Ultrasound-guided (USG) peripheral intravenous catheter (PIVC) insertion improves cannulation success, particularly in patients with difficult intravenous access. Whether USG also improves post-insertion outcomes such as catheter failure, dwell time, and complications remains uncertain.</w:t>
      </w:r>
    </w:p>
    <w:p w14:paraId="1D89F3D1" w14:textId="3C604672"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Methods:</w:t>
      </w:r>
      <w:r w:rsidRPr="007D7E76">
        <w:rPr>
          <w:rFonts w:ascii="Times New Roman" w:hAnsi="Times New Roman" w:cs="Times New Roman"/>
          <w:sz w:val="24"/>
          <w:szCs w:val="24"/>
        </w:rPr>
        <w:t xml:space="preserve"> We conducted a systematic review and meta-analysis of randomized controlled trials and comparative cohort studies comparing USG with landmark-guided PIVC insertion and reporting at least one post-insertion outcome. PubMed, Embase, Cochrane CENTRAL, and CINAHL were searched from January 2000 to March 2026. Risk of bias was assessed using RoB 2 and the Newcastle-Ottawa Scale. Random-effects meta-analysis used the DerSimonian-Laird estimator as the pre-specified primary approach; REML with Hartung-Knapp-Sidik-Jonkman adjustment was performed as a post-hoc sensitivity analysis because few studies contributed to each pooled outcome.</w:t>
      </w:r>
    </w:p>
    <w:p w14:paraId="505B576A" w14:textId="77777777" w:rsidR="003C5087" w:rsidRPr="007D7E76" w:rsidRDefault="00E2355C" w:rsidP="00176099">
      <w:pPr>
        <w:rPr>
          <w:rFonts w:ascii="Times New Roman" w:hAnsi="Times New Roman" w:cs="Times New Roman"/>
          <w:sz w:val="24"/>
          <w:szCs w:val="24"/>
        </w:rPr>
      </w:pPr>
      <w:r w:rsidRPr="007D7E76">
        <w:rPr>
          <w:rFonts w:ascii="Times New Roman" w:hAnsi="Times New Roman" w:cs="Times New Roman"/>
          <w:b/>
          <w:bCs/>
          <w:sz w:val="24"/>
          <w:szCs w:val="24"/>
        </w:rPr>
        <w:t xml:space="preserve">Results: </w:t>
      </w:r>
      <w:r w:rsidRPr="000120A7">
        <w:rPr>
          <w:rFonts w:ascii="Times New Roman" w:hAnsi="Times New Roman" w:cs="Times New Roman"/>
          <w:color w:val="FF0000"/>
          <w:sz w:val="24"/>
          <w:szCs w:val="24"/>
        </w:rPr>
        <w:t>Fifteen</w:t>
      </w:r>
      <w:r w:rsidRPr="007D7E76">
        <w:rPr>
          <w:rFonts w:ascii="Times New Roman" w:hAnsi="Times New Roman" w:cs="Times New Roman"/>
          <w:sz w:val="24"/>
          <w:szCs w:val="24"/>
        </w:rPr>
        <w:t xml:space="preserve"> studies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randomized trials, 9 cohort studies; </w:t>
      </w:r>
      <w:r w:rsidRPr="000120A7">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were included </w:t>
      </w:r>
      <w:r w:rsidRPr="000120A7">
        <w:rPr>
          <w:rFonts w:ascii="Times New Roman" w:hAnsi="Times New Roman" w:cs="Times New Roman"/>
          <w:color w:val="FF0000"/>
          <w:sz w:val="24"/>
          <w:szCs w:val="24"/>
        </w:rPr>
        <w:t>in the qualitative synthesis</w:t>
      </w:r>
      <w:r w:rsidRPr="007D7E76">
        <w:rPr>
          <w:rFonts w:ascii="Times New Roman" w:hAnsi="Times New Roman" w:cs="Times New Roman"/>
          <w:sz w:val="24"/>
          <w:szCs w:val="24"/>
        </w:rPr>
        <w:t xml:space="preserve">. Catheter failure did not differ significantly between USG and landmark groups (k = 4; RR 1.23, </w:t>
      </w:r>
      <w:r w:rsidRPr="000120A7">
        <w:rPr>
          <w:rFonts w:ascii="Times New Roman" w:hAnsi="Times New Roman" w:cs="Times New Roman"/>
          <w:color w:val="FF0000"/>
          <w:sz w:val="24"/>
          <w:szCs w:val="24"/>
        </w:rPr>
        <w:t>95% CI 1.00–1.51</w:t>
      </w:r>
      <w:r w:rsidRPr="007D7E76">
        <w:rPr>
          <w:rFonts w:ascii="Times New Roman" w:hAnsi="Times New Roman" w:cs="Times New Roman"/>
          <w:sz w:val="24"/>
          <w:szCs w:val="24"/>
        </w:rPr>
        <w:t xml:space="preserve">; p = 0.056), although the estimate was sensitive to model choice and to exclusion of the largest contributing study. Dwell time and extravasation were not pooled because of substantial heterogeneity (I² = 91.9% and 95.7%, respectively). Infiltration did not differ significantly </w:t>
      </w:r>
      <w:r w:rsidRPr="000120A7">
        <w:rPr>
          <w:rFonts w:ascii="Times New Roman" w:hAnsi="Times New Roman" w:cs="Times New Roman"/>
          <w:color w:val="FF0000"/>
          <w:sz w:val="24"/>
          <w:szCs w:val="24"/>
        </w:rPr>
        <w:t>(k = 3; RR 1.30, 95% CI 0.82–2.05)</w:t>
      </w:r>
      <w:r w:rsidRPr="007D7E76">
        <w:rPr>
          <w:rFonts w:ascii="Times New Roman" w:hAnsi="Times New Roman" w:cs="Times New Roman"/>
          <w:sz w:val="24"/>
          <w:szCs w:val="24"/>
        </w:rPr>
        <w:t>. Several studies reporting favorable USG results were substantially confounded by systematic differences in catheter length or material between groups.</w:t>
      </w:r>
    </w:p>
    <w:p w14:paraId="5B356A1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Conclusions:</w:t>
      </w:r>
      <w:r w:rsidRPr="007D7E76">
        <w:rPr>
          <w:rFonts w:ascii="Times New Roman" w:hAnsi="Times New Roman" w:cs="Times New Roman"/>
          <w:sz w:val="24"/>
          <w:szCs w:val="24"/>
        </w:rPr>
        <w:t xml:space="preserve"> Current evidence does not demonstrate a consistent post-insertion advantage of USG over landmark PIVC placement. Apparent benefits reported in some studies may be influenced by catheter-specification differences rather than by ultrasound guidance itself. Because the evidence base is small and heterogeneous, clinically meaningful benefit or harm cannot be excluded. Adequately powered trials that control for catheter length, gauge, and material are needed to determine whether USG independently influences post-insertion catheter performance. </w:t>
      </w:r>
      <w:r w:rsidRPr="000120A7">
        <w:rPr>
          <w:rFonts w:ascii="Times New Roman" w:hAnsi="Times New Roman" w:cs="Times New Roman"/>
          <w:color w:val="FF0000"/>
          <w:sz w:val="24"/>
          <w:szCs w:val="24"/>
        </w:rPr>
        <w:t>These findings are constrained by a small, heterogeneous evidence base, catheter-specification confounding in several positive studies, and low-to-very-low GRADE certainty</w:t>
      </w:r>
      <w:r w:rsidRPr="007D7E76">
        <w:rPr>
          <w:rFonts w:ascii="Times New Roman" w:hAnsi="Times New Roman" w:cs="Times New Roman"/>
          <w:color w:val="C00000"/>
          <w:sz w:val="24"/>
          <w:szCs w:val="24"/>
        </w:rPr>
        <w:t>.</w:t>
      </w:r>
      <w:r w:rsidRPr="007D7E76">
        <w:rPr>
          <w:rFonts w:ascii="Times New Roman" w:hAnsi="Times New Roman" w:cs="Times New Roman"/>
          <w:sz w:val="24"/>
          <w:szCs w:val="24"/>
        </w:rPr>
        <w:t xml:space="preserve"> </w:t>
      </w:r>
    </w:p>
    <w:p w14:paraId="2B3362AD" w14:textId="700351FD" w:rsidR="003C5087" w:rsidRDefault="00E2355C">
      <w:pPr>
        <w:rPr>
          <w:rFonts w:ascii="Times New Roman" w:hAnsi="Times New Roman" w:cs="Times New Roman"/>
          <w:sz w:val="24"/>
          <w:szCs w:val="24"/>
        </w:rPr>
      </w:pPr>
      <w:r w:rsidRPr="000120A7">
        <w:rPr>
          <w:rFonts w:ascii="Times New Roman" w:hAnsi="Times New Roman" w:cs="Times New Roman"/>
          <w:b/>
          <w:bCs/>
          <w:sz w:val="24"/>
          <w:szCs w:val="24"/>
        </w:rPr>
        <w:t>Keywords:</w:t>
      </w:r>
      <w:r w:rsidRPr="007D7E76">
        <w:rPr>
          <w:rFonts w:ascii="Times New Roman" w:hAnsi="Times New Roman" w:cs="Times New Roman"/>
          <w:sz w:val="24"/>
          <w:szCs w:val="24"/>
        </w:rPr>
        <w:t xml:space="preserve"> peripheral intravenous catheter, ultrasound-guided, landmark, difficult intravenous access (DIVA), catheter failure, dwell time, extravasation, systematic review, meta-analysis</w:t>
      </w:r>
    </w:p>
    <w:p w14:paraId="4A6D5012" w14:textId="5EA59170" w:rsidR="000120A7" w:rsidRDefault="000120A7">
      <w:pPr>
        <w:rPr>
          <w:rFonts w:ascii="Times New Roman" w:hAnsi="Times New Roman" w:cs="Times New Roman"/>
          <w:sz w:val="24"/>
          <w:szCs w:val="24"/>
        </w:rPr>
      </w:pPr>
    </w:p>
    <w:p w14:paraId="10C959CB" w14:textId="17868E00" w:rsidR="000120A7" w:rsidRDefault="000120A7">
      <w:pPr>
        <w:rPr>
          <w:rFonts w:ascii="Times New Roman" w:hAnsi="Times New Roman" w:cs="Times New Roman"/>
          <w:sz w:val="24"/>
          <w:szCs w:val="24"/>
        </w:rPr>
      </w:pPr>
    </w:p>
    <w:p w14:paraId="6D5D3F6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Introduction</w:t>
      </w:r>
    </w:p>
    <w:p w14:paraId="2D56CB08"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Peripheral intravenous catheter (PIVC) insertion is the most commonly performed invasive procedure in hospitals worldwide, with an estimated one billion catheters placed annually across the globe [1]. Despite its ubiquity, PIVC insertion remains a significant source of patient discomfort, procedural delay, and healthcare resource consumption, particularly among patients with difficult intravenous access (DIVA). Over the past two decades, ultrasound-guided (USG) PIVC insertion has emerged as a widely endorsed technique to improve cannulation success, especially when traditional landmark and palpation methods have failed [2, 3].</w:t>
      </w:r>
    </w:p>
    <w:p w14:paraId="75B7BFC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evidence supporting USG PIVC insertion has focused predominantly on insertion success metrics, including first-attempt success rates, overall success rates, number of attempts, and time to successful cannulation. Multiple systematic reviews and meta-analyses have demonstrated that USG improves first-attempt success and reduces the number of skin punctures compared with the landmark technique, findings that have driven the incorporation of USG PIVC into clinical practice guidelines and </w:t>
      </w:r>
      <w:r w:rsidRPr="000120A7">
        <w:rPr>
          <w:rFonts w:ascii="Times New Roman" w:hAnsi="Times New Roman" w:cs="Times New Roman"/>
          <w:color w:val="FF0000"/>
          <w:sz w:val="24"/>
          <w:szCs w:val="24"/>
        </w:rPr>
        <w:t>training curricula [4, 6, 27], though findings in general pediatric populations have been less consistent [11]</w:t>
      </w:r>
      <w:r w:rsidRPr="007D7E76">
        <w:rPr>
          <w:rFonts w:ascii="Times New Roman" w:hAnsi="Times New Roman" w:cs="Times New Roman"/>
          <w:color w:val="C00000"/>
          <w:sz w:val="24"/>
          <w:szCs w:val="24"/>
        </w:rPr>
        <w:t>.</w:t>
      </w:r>
      <w:r w:rsidRPr="007D7E76">
        <w:rPr>
          <w:rFonts w:ascii="Times New Roman" w:hAnsi="Times New Roman" w:cs="Times New Roman"/>
          <w:sz w:val="24"/>
          <w:szCs w:val="24"/>
        </w:rPr>
        <w:t xml:space="preserve"> However, successful insertion of a PIVC represents only the beginning of the device’s clinical lifecycle. Post-insertion outcomes, including catheter dwell time, catheter failure, phlebitis, infiltration, extravasation, occlusion, dislodgement, and catheter-related infection, are arguably of equal or greater clinical importance, as they determine the functional utility of the catheter and the need for replacement procedures.</w:t>
      </w:r>
    </w:p>
    <w:p w14:paraId="254444C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Despite the clinical relevance of post-insertion outcomes, no prior systematic review has specifically synthesized the evidence comparing post-insertion performance of USG versus landmark PIVCs. The assumption that improved insertion success will translate into improved catheter longevity and fewer complications has not been rigorously tested. Theoretical concerns exist that USG catheters, which often access deeper veins with standard-length catheters, may be at increased risk of mechanical complications such as infiltration and dislodgement due to a shorter intravenous catheter segment within the vessel lumen [7, 8].</w:t>
      </w:r>
    </w:p>
    <w:p w14:paraId="470E5A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We therefore conducted a systematic review and meta-analysis to evaluate post-insertion outcomes of USG compared with landmark PIVC insertion. Our primary outcomes were catheter failure and dwell time. Secondary outcomes included infiltration, extravasation, phlebitis, occlusion, dislodgement, and catheter-related infection. </w:t>
      </w:r>
      <w:r w:rsidRPr="000120A7">
        <w:rPr>
          <w:rFonts w:ascii="Times New Roman" w:hAnsi="Times New Roman" w:cs="Times New Roman"/>
          <w:color w:val="FF0000"/>
          <w:sz w:val="24"/>
          <w:szCs w:val="24"/>
        </w:rPr>
        <w:t>Rather than presuming a direction of effect, we evaluated whether post-insertion catheter performance differs between USG and landmark placement.</w:t>
      </w:r>
    </w:p>
    <w:p w14:paraId="23575198" w14:textId="77777777" w:rsidR="000120A7" w:rsidRDefault="000120A7">
      <w:pPr>
        <w:rPr>
          <w:rFonts w:ascii="Times New Roman" w:hAnsi="Times New Roman" w:cs="Times New Roman"/>
          <w:b/>
          <w:sz w:val="24"/>
          <w:szCs w:val="24"/>
        </w:rPr>
      </w:pPr>
    </w:p>
    <w:p w14:paraId="6065AAA1" w14:textId="77777777" w:rsidR="000120A7" w:rsidRDefault="000120A7">
      <w:pPr>
        <w:rPr>
          <w:rFonts w:ascii="Times New Roman" w:hAnsi="Times New Roman" w:cs="Times New Roman"/>
          <w:b/>
          <w:sz w:val="24"/>
          <w:szCs w:val="24"/>
        </w:rPr>
      </w:pPr>
    </w:p>
    <w:p w14:paraId="0CB20DA2" w14:textId="67E1E6F1"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Methods</w:t>
      </w:r>
    </w:p>
    <w:p w14:paraId="25C1B76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Search Strategy</w:t>
      </w:r>
    </w:p>
    <w:p w14:paraId="13A4A83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was</w:t>
      </w:r>
      <w:proofErr w:type="gramEnd"/>
      <w:r w:rsidRPr="007D7E76">
        <w:rPr>
          <w:rFonts w:ascii="Times New Roman" w:hAnsi="Times New Roman" w:cs="Times New Roman"/>
          <w:sz w:val="24"/>
          <w:szCs w:val="24"/>
        </w:rPr>
        <w:t xml:space="preserve"> conducted in accordance with the Preferred Reporting Items for Systematic Reviews and Meta-Analyses (PRISMA) 2020 guidelines and was prospectively registered in PROSPERO (CRD420261354170) (see </w:t>
      </w:r>
      <w:r w:rsidRPr="001202B4">
        <w:rPr>
          <w:rFonts w:ascii="Times New Roman" w:hAnsi="Times New Roman" w:cs="Times New Roman"/>
          <w:b/>
          <w:bCs/>
          <w:sz w:val="24"/>
          <w:szCs w:val="24"/>
        </w:rPr>
        <w:t>Supplementary Material S1</w:t>
      </w:r>
      <w:r w:rsidRPr="007D7E76">
        <w:rPr>
          <w:rFonts w:ascii="Times New Roman" w:hAnsi="Times New Roman" w:cs="Times New Roman"/>
          <w:sz w:val="24"/>
          <w:szCs w:val="24"/>
        </w:rPr>
        <w:t xml:space="preserve">). A comprehensive literature search was performed across four electronic databases: PubMed (n = 530), Embase (n = 984), Cochrane CENTRAL (n = 68), and CINAHL (n = 50), yielding 1,632 total records. The search spanned from 1 January 2000 to 27 March 2026 and was restricted to English-language publications. Search terms combined controlled vocabulary and free-text keywords related to three conceptual domains: (1) peripheral intravenous catheterization (e.g., “peripheral venous catheter,” “intravenous cannulation,” “PIVC”); (2) ultrasound guidance (e.g., “ultrasonography,” “ultrasound-guided,” “echography”); and (3) post-insertion outcomes (e.g., “catheter failure,” “dwell time,” “phlebitis,” “infiltration,” “extravasation,” “complications”). Reference lists of included studies and relevant systematic reviews were hand-searched to identify additional eligible records (see </w:t>
      </w:r>
      <w:bookmarkStart w:id="0" w:name="_Hlk231823424"/>
      <w:r w:rsidRPr="00041CCE">
        <w:rPr>
          <w:rFonts w:ascii="Times New Roman" w:hAnsi="Times New Roman" w:cs="Times New Roman"/>
          <w:b/>
          <w:bCs/>
          <w:sz w:val="24"/>
          <w:szCs w:val="24"/>
        </w:rPr>
        <w:t>Supplementary Material S2</w:t>
      </w:r>
      <w:bookmarkEnd w:id="0"/>
      <w:r w:rsidRPr="007D7E76">
        <w:rPr>
          <w:rFonts w:ascii="Times New Roman" w:hAnsi="Times New Roman" w:cs="Times New Roman"/>
          <w:sz w:val="24"/>
          <w:szCs w:val="24"/>
        </w:rPr>
        <w:t>).</w:t>
      </w:r>
    </w:p>
    <w:p w14:paraId="2ED5B3E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Selection</w:t>
      </w:r>
    </w:p>
    <w:p w14:paraId="5764473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After removal of 273 duplicates, 1,359 unique records underwent title and abstract screening by two reviewers </w:t>
      </w:r>
      <w:r w:rsidRPr="000120A7">
        <w:rPr>
          <w:rFonts w:ascii="Times New Roman" w:hAnsi="Times New Roman" w:cs="Times New Roman"/>
          <w:color w:val="FF0000"/>
          <w:sz w:val="24"/>
          <w:szCs w:val="24"/>
        </w:rPr>
        <w:t>(C.C.C. and Y.L.W.)</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independently in Rayyan (Rayyan Systems Inc., Cambridge, MA, USA). Overall percent agreement was 95.8% (Cohen’s kappa = 0.330). Both reviewers concurrently excluded 1,287 records; 15 were both-reviewer includes; 57 records were single-reviewer includes (4 PI-only, 53 second-reviewer-only). Single-reviewer-include records underwent pre-specified second-pass title/abstract adjudication by the primary reviewer against the PROSPERO PICO; 53 were judged outside scope at this stage with documented reasons (first-attempt insertion outcome; midline/long-peripheral catheter; single-arm; unpublished protocol), and 4 advanced to full-text for confirmation. In total, 19 records advanced to full-text retrieval.</w:t>
      </w:r>
    </w:p>
    <w:p w14:paraId="3D0BF03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19 records advancing to full-text consideration were retrieved and screened. </w:t>
      </w:r>
      <w:r w:rsidRPr="000120A7">
        <w:rPr>
          <w:rFonts w:ascii="Times New Roman" w:hAnsi="Times New Roman" w:cs="Times New Roman"/>
          <w:color w:val="FF0000"/>
          <w:sz w:val="24"/>
          <w:szCs w:val="24"/>
        </w:rPr>
        <w:t>Full-text eligibility was assessed independently by two reviewers (T.A.L. and Y.L.W.), with the senior author (C.C.C.) adjudicating; after consensus discussion, 15 studies met all inclusion criteria and were included in the final analysis. Four reports were excluded at the full-text stage: (1) Malik et al., single-arm study without a comparator group [9]; (2) one Avelar et al. report (Rev Esc Enferm USP, 2013), available only in Portuguese with no reliable translation [10]; (3) one oncology-nurses report, unpublished at time of search; (4) Kleidon et al. (BJN, 2023) [13], a trial-protocol-only publication of the same EPIC trial without post-insertion outcome data, excluded as an overlapping report of the single included EPIC primary publication (Kleidon et al., JAMA Pediatrics, 2025) [12]. A further overlapping EPIC conference abstract was also identified and excluded earlier at the title/abstract screening stage.</w:t>
      </w:r>
      <w:r w:rsidRPr="007D7E76">
        <w:rPr>
          <w:rFonts w:ascii="Times New Roman" w:hAnsi="Times New Roman" w:cs="Times New Roman"/>
          <w:sz w:val="24"/>
          <w:szCs w:val="24"/>
        </w:rPr>
        <w:t xml:space="preserve"> Two studies (Desai et al., 2018 [14]; Nishizawa et al., 2020 [15]) were not available through initial institutional access but were subsequently retrieved via interlibrary loan and included in the final analysis (see </w:t>
      </w:r>
      <w:bookmarkStart w:id="1" w:name="_Hlk231823459"/>
      <w:r w:rsidRPr="00041CCE">
        <w:rPr>
          <w:rFonts w:ascii="Times New Roman" w:hAnsi="Times New Roman" w:cs="Times New Roman"/>
          <w:b/>
          <w:bCs/>
          <w:sz w:val="24"/>
          <w:szCs w:val="24"/>
        </w:rPr>
        <w:t>Supplementary Material S3</w:t>
      </w:r>
      <w:bookmarkEnd w:id="1"/>
      <w:r w:rsidRPr="007D7E76">
        <w:rPr>
          <w:rFonts w:ascii="Times New Roman" w:hAnsi="Times New Roman" w:cs="Times New Roman"/>
          <w:sz w:val="24"/>
          <w:szCs w:val="24"/>
        </w:rPr>
        <w:t xml:space="preserve">). </w:t>
      </w:r>
      <w:r w:rsidRPr="000120A7">
        <w:rPr>
          <w:rFonts w:ascii="Times New Roman" w:hAnsi="Times New Roman" w:cs="Times New Roman"/>
          <w:color w:val="FF0000"/>
          <w:sz w:val="24"/>
          <w:szCs w:val="24"/>
        </w:rPr>
        <w:t>The English-language report of the Avelar trial (Journal of Infusion Nursing, 2015 [5]) met all eligibility criteria and was included; the 2013 Portuguese article [10] is a companion report of the same trial (ClinicalTrials.gov NCT00930254) rather than a separate study.</w:t>
      </w:r>
    </w:p>
    <w:p w14:paraId="0E0AC6B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Eligibility Criteria</w:t>
      </w:r>
    </w:p>
    <w:p w14:paraId="4E7653C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Studies were eligible for inclusion if they: (1) directly compared USG with landmark or palpation-guided PIVC insertion; (2) reported at least one post-insertion outcome, including dwell time, catheter failure, phlebitis, infiltration, occlusion, dislodgement, or catheter-related infection; (3) employed a randomized controlled trial (RCT) or comparative cohort design; (4) enrolled human participants; and (5) were published in English between 2000 and 2026.</w:t>
      </w:r>
    </w:p>
    <w:p w14:paraId="2C79492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Data Extraction</w:t>
      </w:r>
    </w:p>
    <w:p w14:paraId="43F7E55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Data were extracted independently by two reviewers using a standardized form. Extracted variables included: study design, country, setting, sample size by group, participant age and population characteristics (adult vs. pediatric), DIVA status, catheter specifications (length, gauge, material), follow-up duration, and all reported post-insertion outcomes with their effect estimates and measures of variance. For studies reporting median and interquartile range, these were recorded as presented. Authors were not contacted for unpublished data.</w:t>
      </w:r>
    </w:p>
    <w:p w14:paraId="1825E6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 Assessment</w:t>
      </w:r>
    </w:p>
    <w:p w14:paraId="01035AA0" w14:textId="03F6A9A3"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Risk of bias for RCTs was assessed using the Cochrane Risk of Bias 2 (RoB 2) tool (</w:t>
      </w:r>
      <w:r w:rsidRPr="001202B4">
        <w:rPr>
          <w:rFonts w:ascii="Times New Roman" w:hAnsi="Times New Roman" w:cs="Times New Roman"/>
          <w:b/>
          <w:bCs/>
          <w:sz w:val="24"/>
          <w:szCs w:val="24"/>
        </w:rPr>
        <w:t>Figure 1A</w:t>
      </w:r>
      <w:r w:rsidRPr="007D7E76">
        <w:rPr>
          <w:rFonts w:ascii="Times New Roman" w:hAnsi="Times New Roman" w:cs="Times New Roman"/>
          <w:sz w:val="24"/>
          <w:szCs w:val="24"/>
        </w:rPr>
        <w:t>) across five domains:</w:t>
      </w:r>
      <w:r w:rsidRPr="004C190E">
        <w:rPr>
          <w:rFonts w:ascii="Times New Roman" w:hAnsi="Times New Roman" w:cs="Times New Roman"/>
          <w:color w:val="FF0000"/>
          <w:sz w:val="24"/>
          <w:szCs w:val="24"/>
        </w:rPr>
        <w:t xml:space="preserve"> randomization process</w:t>
      </w:r>
      <w:r w:rsidRPr="007D7E76">
        <w:rPr>
          <w:rFonts w:ascii="Times New Roman" w:hAnsi="Times New Roman" w:cs="Times New Roman"/>
          <w:sz w:val="24"/>
          <w:szCs w:val="24"/>
        </w:rPr>
        <w:t>, deviations from intended interventions, missing outcome data, measurement of the outcome, and selection of the reported result. Each RCT was classified as low risk, some concerns, or high risk of bias. Observational studies were evaluated using the Newcastle-Ottawa Scale (NOS) (</w:t>
      </w:r>
      <w:r w:rsidRPr="00041CCE">
        <w:rPr>
          <w:rFonts w:ascii="Times New Roman" w:hAnsi="Times New Roman" w:cs="Times New Roman"/>
          <w:b/>
          <w:bCs/>
          <w:sz w:val="24"/>
          <w:szCs w:val="24"/>
        </w:rPr>
        <w:t>Figure 1B</w:t>
      </w:r>
      <w:r w:rsidRPr="007D7E76">
        <w:rPr>
          <w:rFonts w:ascii="Times New Roman" w:hAnsi="Times New Roman" w:cs="Times New Roman"/>
          <w:sz w:val="24"/>
          <w:szCs w:val="24"/>
        </w:rPr>
        <w:t>), with scores ranging from 0 to 9 stars across three domains: selection, comparability, and outcome (</w:t>
      </w:r>
      <w:r w:rsidRPr="00041CCE">
        <w:rPr>
          <w:rFonts w:ascii="Times New Roman" w:hAnsi="Times New Roman" w:cs="Times New Roman"/>
          <w:b/>
          <w:bCs/>
          <w:sz w:val="24"/>
          <w:szCs w:val="24"/>
        </w:rPr>
        <w:t>Figure 1C</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4C190E">
        <w:rPr>
          <w:rFonts w:ascii="Times New Roman" w:hAnsi="Times New Roman" w:cs="Times New Roman"/>
          <w:color w:val="FF0000"/>
          <w:sz w:val="24"/>
          <w:szCs w:val="24"/>
        </w:rPr>
        <w:t>The certainty of evidence for each outcome was rated using the GRADE approach (considering risk of bias, inconsistency, indirectness, imprecision, and publication bias), with observational studies starting at low certainty; ratings are summariz</w:t>
      </w:r>
      <w:r w:rsidRPr="00014011">
        <w:rPr>
          <w:rFonts w:ascii="Times New Roman" w:hAnsi="Times New Roman" w:cs="Times New Roman"/>
          <w:color w:val="FF0000"/>
          <w:sz w:val="24"/>
          <w:szCs w:val="24"/>
        </w:rPr>
        <w:t xml:space="preserve">ed in </w:t>
      </w:r>
      <w:r w:rsidRPr="00014011">
        <w:rPr>
          <w:rFonts w:ascii="Times New Roman" w:hAnsi="Times New Roman" w:cs="Times New Roman"/>
          <w:b/>
          <w:bCs/>
          <w:color w:val="FF0000"/>
          <w:sz w:val="24"/>
          <w:szCs w:val="24"/>
        </w:rPr>
        <w:t xml:space="preserve">Table </w:t>
      </w:r>
      <w:r w:rsidR="00014011" w:rsidRPr="00014011">
        <w:rPr>
          <w:rFonts w:ascii="Times New Roman" w:eastAsia="微軟正黑體" w:hAnsi="Times New Roman" w:cs="Times New Roman"/>
          <w:b/>
          <w:bCs/>
          <w:color w:val="FF0000"/>
          <w:sz w:val="24"/>
          <w:szCs w:val="24"/>
          <w:lang w:eastAsia="zh-TW"/>
        </w:rPr>
        <w:t>3</w:t>
      </w:r>
      <w:r w:rsidRPr="004C190E">
        <w:rPr>
          <w:rFonts w:ascii="Times New Roman" w:hAnsi="Times New Roman" w:cs="Times New Roman"/>
          <w:color w:val="FF0000"/>
          <w:sz w:val="24"/>
          <w:szCs w:val="24"/>
        </w:rPr>
        <w:t xml:space="preserve"> </w:t>
      </w:r>
      <w:r w:rsidRPr="00D909AA">
        <w:rPr>
          <w:rFonts w:ascii="Times New Roman" w:hAnsi="Times New Roman" w:cs="Times New Roman"/>
          <w:color w:val="FF0000"/>
          <w:sz w:val="24"/>
          <w:szCs w:val="24"/>
          <w:highlight w:val="yellow"/>
        </w:rPr>
        <w:t>[30]</w:t>
      </w:r>
      <w:r w:rsidRPr="004C190E">
        <w:rPr>
          <w:rFonts w:ascii="Times New Roman" w:hAnsi="Times New Roman" w:cs="Times New Roman"/>
          <w:color w:val="FF0000"/>
          <w:sz w:val="24"/>
          <w:szCs w:val="24"/>
        </w:rPr>
        <w:t>.</w:t>
      </w:r>
    </w:p>
    <w:p w14:paraId="78B861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Statistical Analysis</w:t>
      </w:r>
    </w:p>
    <w:p w14:paraId="548605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Random-effects meta-analyses were conducted using the DerSimonian-Laird (DL) method for outcomes reported by two or more studies with comparable definitions and populations. Risk ratios (RR) with 95% confidence intervals (CI) were calculated for dichotomous outcomes; mean differences (MD) with 95% CI were calculated for continuous outcomes. For studies reporting hazard ratios (HR), these were pooled separately. Statistical heterogeneity was assessed using the </w:t>
      </w:r>
      <w:r w:rsidRPr="007D7E76">
        <w:rPr>
          <w:rFonts w:ascii="Times New Roman" w:hAnsi="Times New Roman" w:cs="Times New Roman"/>
          <w:color w:val="C00000"/>
          <w:sz w:val="24"/>
          <w:szCs w:val="24"/>
        </w:rPr>
        <w:t>I²</w:t>
      </w:r>
      <w:r w:rsidRPr="007D7E76">
        <w:rPr>
          <w:rFonts w:ascii="Times New Roman" w:hAnsi="Times New Roman" w:cs="Times New Roman"/>
          <w:sz w:val="24"/>
          <w:szCs w:val="24"/>
        </w:rPr>
        <w:t xml:space="preserve"> statistic, with values of 25%, 50%, and 75% representing low, moderate, and high heterogeneity, respectively. Outcomes with </w:t>
      </w:r>
      <w:r w:rsidRPr="007D7E76">
        <w:rPr>
          <w:rFonts w:ascii="Times New Roman" w:hAnsi="Times New Roman" w:cs="Times New Roman"/>
          <w:color w:val="C00000"/>
          <w:sz w:val="24"/>
          <w:szCs w:val="24"/>
        </w:rPr>
        <w:t>I²</w:t>
      </w:r>
      <w:r w:rsidRPr="007D7E76">
        <w:rPr>
          <w:rFonts w:ascii="Times New Roman" w:hAnsi="Times New Roman" w:cs="Times New Roman"/>
          <w:sz w:val="24"/>
          <w:szCs w:val="24"/>
        </w:rPr>
        <w:t xml:space="preserve"> exceeding 75% were not pooled and were described narratively.</w:t>
      </w:r>
    </w:p>
    <w:p w14:paraId="347F857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Prespecified subgroup analyses were conducted by age group (adult vs. pediatric) and study design (RCT vs. cohort). Sensitivity analyses were performed by restricting the analysis to RCTs only and by leave-one-out analysis to assess the influence of individual studies. Publication bias could not be formally assessed (e.g., by funnel plot or Egger’s test) because fewer than 10 studies contributed to any single pooled analysis. Studies identified as having major confounding by systematic differences in catheter type or length between groups were excluded from the primary meta-analysis and reported separately.</w:t>
      </w:r>
    </w:p>
    <w:p w14:paraId="1B2F6B0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All analyses were performed using R </w:t>
      </w:r>
      <w:r w:rsidRPr="000120A7">
        <w:rPr>
          <w:rFonts w:ascii="Times New Roman" w:hAnsi="Times New Roman" w:cs="Times New Roman"/>
          <w:color w:val="FF0000"/>
          <w:sz w:val="24"/>
          <w:szCs w:val="24"/>
        </w:rPr>
        <w:t>(version 4.5.3)</w:t>
      </w:r>
      <w:r w:rsidRPr="007D7E76">
        <w:rPr>
          <w:rFonts w:ascii="Times New Roman" w:hAnsi="Times New Roman" w:cs="Times New Roman"/>
          <w:sz w:val="24"/>
          <w:szCs w:val="24"/>
        </w:rPr>
        <w:t xml:space="preserve"> with the meta </w:t>
      </w:r>
      <w:r w:rsidRPr="00D909AA">
        <w:rPr>
          <w:rFonts w:ascii="Times New Roman" w:hAnsi="Times New Roman" w:cs="Times New Roman"/>
          <w:color w:val="FF0000"/>
          <w:sz w:val="24"/>
          <w:szCs w:val="24"/>
          <w:highlight w:val="yellow"/>
        </w:rPr>
        <w:t>[31]</w:t>
      </w:r>
      <w:r w:rsidRPr="007D7E76">
        <w:rPr>
          <w:rFonts w:ascii="Times New Roman" w:hAnsi="Times New Roman" w:cs="Times New Roman"/>
          <w:sz w:val="24"/>
          <w:szCs w:val="24"/>
        </w:rPr>
        <w:t xml:space="preserve"> and metafor </w:t>
      </w:r>
      <w:r w:rsidRPr="00D909AA">
        <w:rPr>
          <w:rFonts w:ascii="Times New Roman" w:hAnsi="Times New Roman" w:cs="Times New Roman"/>
          <w:color w:val="FF0000"/>
          <w:sz w:val="24"/>
          <w:szCs w:val="24"/>
          <w:highlight w:val="yellow"/>
        </w:rPr>
        <w:t>[32]</w:t>
      </w:r>
      <w:r w:rsidRPr="000120A7">
        <w:rPr>
          <w:rFonts w:ascii="Times New Roman" w:hAnsi="Times New Roman" w:cs="Times New Roman"/>
          <w:color w:val="FF0000"/>
          <w:sz w:val="24"/>
          <w:szCs w:val="24"/>
        </w:rPr>
        <w:t xml:space="preserve"> </w:t>
      </w:r>
      <w:r w:rsidRPr="007D7E76">
        <w:rPr>
          <w:rFonts w:ascii="Times New Roman" w:hAnsi="Times New Roman" w:cs="Times New Roman"/>
          <w:sz w:val="24"/>
          <w:szCs w:val="24"/>
        </w:rPr>
        <w:t>packages. A two-sided p-value &lt; 0.05 was considered statistically significant.</w:t>
      </w:r>
    </w:p>
    <w:p w14:paraId="052A2572" w14:textId="374FBEBA"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DerSimonian-Laird (DL) estimator was the pre-specified primary approach in our PROSPERO protocol, reflecting standard practice in systematic reviews at the time of registration. After the initial analytic run, </w:t>
      </w:r>
      <w:r w:rsidRPr="000120A7">
        <w:rPr>
          <w:rFonts w:ascii="Times New Roman" w:hAnsi="Times New Roman" w:cs="Times New Roman"/>
          <w:color w:val="FF0000"/>
          <w:sz w:val="24"/>
          <w:szCs w:val="24"/>
        </w:rPr>
        <w:t>we recognized that</w:t>
      </w:r>
      <w:r w:rsidRPr="007D7E76">
        <w:rPr>
          <w:rFonts w:ascii="Times New Roman" w:hAnsi="Times New Roman" w:cs="Times New Roman"/>
          <w:sz w:val="24"/>
          <w:szCs w:val="24"/>
        </w:rPr>
        <w:t xml:space="preserve"> with only 2–4 studies contributing to each outcome, DL standard errors are known to be anti-conservative and the resulting confidence intervals can be narrower than </w:t>
      </w:r>
      <w:r w:rsidRPr="000120A7">
        <w:rPr>
          <w:rFonts w:ascii="Times New Roman" w:hAnsi="Times New Roman" w:cs="Times New Roman"/>
          <w:color w:val="FF0000"/>
          <w:sz w:val="24"/>
          <w:szCs w:val="24"/>
        </w:rPr>
        <w:t xml:space="preserve">warranted </w:t>
      </w:r>
      <w:r w:rsidRPr="00D909AA">
        <w:rPr>
          <w:rFonts w:ascii="Times New Roman" w:hAnsi="Times New Roman" w:cs="Times New Roman"/>
          <w:color w:val="FF0000"/>
          <w:sz w:val="24"/>
          <w:szCs w:val="24"/>
          <w:highlight w:val="yellow"/>
        </w:rPr>
        <w:t>[35]</w:t>
      </w:r>
      <w:r w:rsidRPr="000120A7">
        <w:rPr>
          <w:rFonts w:ascii="Times New Roman" w:hAnsi="Times New Roman" w:cs="Times New Roman"/>
          <w:color w:val="FF0000"/>
          <w:sz w:val="24"/>
          <w:szCs w:val="24"/>
        </w:rPr>
        <w:t xml:space="preserve">. We therefore </w:t>
      </w:r>
      <w:r w:rsidRPr="007D7E76">
        <w:rPr>
          <w:rFonts w:ascii="Times New Roman" w:hAnsi="Times New Roman" w:cs="Times New Roman"/>
          <w:sz w:val="24"/>
          <w:szCs w:val="24"/>
        </w:rPr>
        <w:t>added a post-hoc sensitivity analysis using the restricted maximum likelihood (REML) estimator and the Hartung-Knapp-Sidik-Jonkman (HKSJ) confidence interval adjustment, which is the currently recommended approach for small-k random-effects meta-analyses. We retain DL as the pre-specified primary estimator (per PROSPERO) but explicitly flag that, where DL and HKSJ estimates straddle the conventional α = 0.05 threshold (as occurs for catheter failure: DL, p = 0.056 vs HKSJ, p = 0.047), interpretation should not hinge on either side of that threshold and the overall pattern of evidence should drive clinical inference rather than a single estimator’s significance.</w:t>
      </w:r>
    </w:p>
    <w:p w14:paraId="0954B00D" w14:textId="10F2AB55" w:rsidR="000120A7" w:rsidRDefault="000120A7">
      <w:pPr>
        <w:rPr>
          <w:rFonts w:ascii="Times New Roman" w:hAnsi="Times New Roman" w:cs="Times New Roman"/>
          <w:sz w:val="24"/>
          <w:szCs w:val="24"/>
        </w:rPr>
      </w:pPr>
    </w:p>
    <w:p w14:paraId="48A38FBB" w14:textId="45CDC715" w:rsidR="000120A7" w:rsidRDefault="000120A7">
      <w:pPr>
        <w:rPr>
          <w:rFonts w:ascii="Times New Roman" w:hAnsi="Times New Roman" w:cs="Times New Roman"/>
          <w:sz w:val="24"/>
          <w:szCs w:val="24"/>
        </w:rPr>
      </w:pPr>
    </w:p>
    <w:p w14:paraId="025B5BC8" w14:textId="05DCB165" w:rsidR="000120A7" w:rsidRDefault="000120A7">
      <w:pPr>
        <w:rPr>
          <w:rFonts w:ascii="Times New Roman" w:hAnsi="Times New Roman" w:cs="Times New Roman"/>
          <w:sz w:val="24"/>
          <w:szCs w:val="24"/>
        </w:rPr>
      </w:pPr>
    </w:p>
    <w:p w14:paraId="7E8E29D6" w14:textId="77777777" w:rsidR="000120A7" w:rsidRPr="007D7E76" w:rsidRDefault="000120A7">
      <w:pPr>
        <w:rPr>
          <w:rFonts w:ascii="Times New Roman" w:hAnsi="Times New Roman" w:cs="Times New Roman"/>
          <w:sz w:val="24"/>
          <w:szCs w:val="24"/>
        </w:rPr>
      </w:pPr>
    </w:p>
    <w:p w14:paraId="3CEB2C7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Results</w:t>
      </w:r>
    </w:p>
    <w:p w14:paraId="251628A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Characteristics</w:t>
      </w:r>
    </w:p>
    <w:p w14:paraId="5E224A7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search identified 1,632 records across four databases. After removing 273 duplicates, 1,359 unique records were screened by title and abstract; 1,287 were excluded by both reviewers, and 72 met a union-inclusion threshold of which 53 single-second-reviewer includes were excluded at second-pass title/abstract adjudication by the primary reviewer (per pre-specified consensus discussion procedure). The remaining 19 records advanced to full-text retrieval and screening; </w:t>
      </w:r>
      <w:r w:rsidRPr="000120A7">
        <w:rPr>
          <w:rFonts w:ascii="Times New Roman" w:hAnsi="Times New Roman" w:cs="Times New Roman"/>
          <w:color w:val="FF0000"/>
          <w:sz w:val="24"/>
          <w:szCs w:val="24"/>
        </w:rPr>
        <w:t>4</w:t>
      </w:r>
      <w:r w:rsidRPr="007D7E76">
        <w:rPr>
          <w:rFonts w:ascii="Times New Roman" w:hAnsi="Times New Roman" w:cs="Times New Roman"/>
          <w:sz w:val="24"/>
          <w:szCs w:val="24"/>
        </w:rPr>
        <w:t xml:space="preserve"> were excluded at the full-text stage (1 single-arm comparator absent, </w:t>
      </w:r>
      <w:r w:rsidRPr="000120A7">
        <w:rPr>
          <w:rFonts w:ascii="Times New Roman" w:hAnsi="Times New Roman" w:cs="Times New Roman"/>
          <w:color w:val="FF0000"/>
          <w:sz w:val="24"/>
          <w:szCs w:val="24"/>
        </w:rPr>
        <w:t>1 Portuguese-language companion report</w:t>
      </w:r>
      <w:r w:rsidRPr="007D7E76">
        <w:rPr>
          <w:rFonts w:ascii="Times New Roman" w:hAnsi="Times New Roman" w:cs="Times New Roman"/>
          <w:sz w:val="24"/>
          <w:szCs w:val="24"/>
        </w:rPr>
        <w:t xml:space="preserve">, 1 unpublished, 1 duplicate/protocol report of the same EPIC trial), and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studies met all inclusion criteria and were included in the qualitative synthesis. Of these, subsets contributed to individual meta-analyses depending on outcome reporting and eligibility for pooling (</w:t>
      </w:r>
      <w:r w:rsidRPr="00813578">
        <w:rPr>
          <w:rFonts w:ascii="Times New Roman" w:hAnsi="Times New Roman" w:cs="Times New Roman"/>
          <w:b/>
          <w:bCs/>
          <w:sz w:val="24"/>
          <w:szCs w:val="24"/>
        </w:rPr>
        <w:t>Figure 2</w:t>
      </w:r>
      <w:r w:rsidRPr="007D7E76">
        <w:rPr>
          <w:rFonts w:ascii="Times New Roman" w:hAnsi="Times New Roman" w:cs="Times New Roman"/>
          <w:sz w:val="24"/>
          <w:szCs w:val="24"/>
        </w:rPr>
        <w:t>; PRISMA flow diagram).</w:t>
      </w:r>
    </w:p>
    <w:p w14:paraId="648F68C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The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included studies comprised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and 9 cohort studies, enrolling a total of </w:t>
      </w:r>
      <w:r w:rsidRPr="000120A7">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xml:space="preserve">. Studies were conducted in Australia (n = 1), </w:t>
      </w:r>
      <w:r w:rsidRPr="000120A7">
        <w:rPr>
          <w:rFonts w:ascii="Times New Roman" w:hAnsi="Times New Roman" w:cs="Times New Roman"/>
          <w:color w:val="FF0000"/>
          <w:sz w:val="24"/>
          <w:szCs w:val="24"/>
        </w:rPr>
        <w:t>Brazil (n = 1),</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 xml:space="preserve">France (n = 1), India (n = 1), Italy (n = 2), Japan (n = 1), and the United States (n = 8). Seven studies enrolled adult participants and </w:t>
      </w:r>
      <w:r w:rsidRPr="000120A7">
        <w:rPr>
          <w:rFonts w:ascii="Times New Roman" w:hAnsi="Times New Roman" w:cs="Times New Roman"/>
          <w:color w:val="FF0000"/>
          <w:sz w:val="24"/>
          <w:szCs w:val="24"/>
        </w:rPr>
        <w:t>eight</w:t>
      </w:r>
      <w:r w:rsidRPr="007D7E76">
        <w:rPr>
          <w:rFonts w:ascii="Times New Roman" w:hAnsi="Times New Roman" w:cs="Times New Roman"/>
          <w:sz w:val="24"/>
          <w:szCs w:val="24"/>
        </w:rPr>
        <w:t xml:space="preserve"> enrolled pediatric patients. Settings included the emergency department (n = 8), intensive care unit (n = 3), inpatient hospital setting (n = 2), a quaternary children’s hospital (n = 1)</w:t>
      </w:r>
      <w:r w:rsidRPr="007D7E76">
        <w:rPr>
          <w:rFonts w:ascii="Times New Roman" w:hAnsi="Times New Roman" w:cs="Times New Roman"/>
          <w:color w:val="C00000"/>
          <w:sz w:val="24"/>
          <w:szCs w:val="24"/>
        </w:rPr>
        <w:t xml:space="preserve">, </w:t>
      </w:r>
      <w:r w:rsidRPr="000120A7">
        <w:rPr>
          <w:rFonts w:ascii="Times New Roman" w:hAnsi="Times New Roman" w:cs="Times New Roman"/>
          <w:color w:val="FF0000"/>
          <w:sz w:val="24"/>
          <w:szCs w:val="24"/>
        </w:rPr>
        <w:t>and a pediatric surgical unit (n = 1)</w:t>
      </w:r>
      <w:r w:rsidRPr="007D7E76">
        <w:rPr>
          <w:rFonts w:ascii="Times New Roman" w:hAnsi="Times New Roman" w:cs="Times New Roman"/>
          <w:sz w:val="24"/>
          <w:szCs w:val="24"/>
        </w:rPr>
        <w:t xml:space="preserve">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Six studies specifically enrolled DIVA populations, while the remainder included patients of mixed or all difficulty levels (</w:t>
      </w:r>
      <w:r w:rsidRPr="0073386A">
        <w:rPr>
          <w:rFonts w:ascii="Times New Roman" w:hAnsi="Times New Roman" w:cs="Times New Roman"/>
          <w:b/>
          <w:bCs/>
          <w:sz w:val="24"/>
          <w:szCs w:val="24"/>
        </w:rPr>
        <w:t>Table 1</w:t>
      </w:r>
      <w:r w:rsidRPr="007D7E76">
        <w:rPr>
          <w:rFonts w:ascii="Times New Roman" w:hAnsi="Times New Roman" w:cs="Times New Roman"/>
          <w:sz w:val="24"/>
          <w:szCs w:val="24"/>
        </w:rPr>
        <w:t>).</w:t>
      </w:r>
    </w:p>
    <w:p w14:paraId="6CB2B6C9" w14:textId="77777777" w:rsidR="003C5087" w:rsidRPr="000120A7"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Full study characteristics are detailed in </w:t>
      </w:r>
      <w:r w:rsidRPr="00F0575F">
        <w:rPr>
          <w:rFonts w:ascii="Times New Roman" w:hAnsi="Times New Roman" w:cs="Times New Roman"/>
          <w:b/>
          <w:bCs/>
          <w:sz w:val="24"/>
          <w:szCs w:val="24"/>
        </w:rPr>
        <w:t>Table 1</w:t>
      </w:r>
      <w:r w:rsidRPr="007D7E76">
        <w:rPr>
          <w:rFonts w:ascii="Times New Roman" w:hAnsi="Times New Roman" w:cs="Times New Roman"/>
          <w:sz w:val="24"/>
          <w:szCs w:val="24"/>
        </w:rPr>
        <w:t xml:space="preserve">. Key features are summarized below. Among the </w:t>
      </w:r>
      <w:r w:rsidRPr="000120A7">
        <w:rPr>
          <w:rFonts w:ascii="Times New Roman" w:hAnsi="Times New Roman" w:cs="Times New Roman"/>
          <w:color w:val="FF0000"/>
          <w:sz w:val="24"/>
          <w:szCs w:val="24"/>
        </w:rPr>
        <w:t>six</w:t>
      </w:r>
      <w:r w:rsidRPr="007D7E76">
        <w:rPr>
          <w:rFonts w:ascii="Times New Roman" w:hAnsi="Times New Roman" w:cs="Times New Roman"/>
          <w:sz w:val="24"/>
          <w:szCs w:val="24"/>
        </w:rPr>
        <w:t xml:space="preserve"> RCTs, </w:t>
      </w:r>
      <w:r w:rsidRPr="000120A7">
        <w:rPr>
          <w:rFonts w:ascii="Times New Roman" w:hAnsi="Times New Roman" w:cs="Times New Roman"/>
          <w:color w:val="FF0000"/>
          <w:sz w:val="24"/>
          <w:szCs w:val="24"/>
        </w:rPr>
        <w:t>Kleidon et al. (2025) conducted the EPIC trial in 164 pediatric patients (Australia) [12]; Varghese et al. (2025) enrolled 90 pediatric ED patients with two-hour follow-up only (India) [17]; Leroux et al. (2023) enrolled 223 adult ED patients (222 PIVCs analyzed) but was substantially underpowered (target 582; USA) [18]; Nishizawa et al. (2020) randomized 60 adult ICU DIVA patients to nurse-performed USG versus standard care (Japan) [15], reporting post-insertion extravasation as a secondary outcome (13.6% vs 28.5%, p=0.394); and Bridey et al. (2018) randomized 114 adult ICU DIVA patients (France) [16]. Avelar et al. (2015) randomized 382 venipunctures in 335 pediatric surgical patients (Brazil) using identical 19-mm catheters in both arms, reporting infiltration and phlebitis as post-insertion outcomes [5].</w:t>
      </w:r>
    </w:p>
    <w:p w14:paraId="1F1B34D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Among the nine cohort studies,</w:t>
      </w:r>
      <w:r w:rsidRPr="000120A7">
        <w:rPr>
          <w:rFonts w:ascii="Times New Roman" w:hAnsi="Times New Roman" w:cs="Times New Roman"/>
          <w:color w:val="FF0000"/>
          <w:sz w:val="24"/>
          <w:szCs w:val="24"/>
        </w:rPr>
        <w:t xml:space="preserve"> Feinsmith et al. (2023)</w:t>
      </w:r>
      <w:r w:rsidRPr="007D7E76">
        <w:rPr>
          <w:rFonts w:ascii="Times New Roman" w:hAnsi="Times New Roman" w:cs="Times New Roman"/>
          <w:sz w:val="24"/>
          <w:szCs w:val="24"/>
        </w:rPr>
        <w:t xml:space="preserve"> was the largest (n=43,470 adult DIVA patients; USA) [19]. Cottrell et al. (2021) is notable as the only unconfounded study reporting significantly longer USG dwell time (mean 96.1 vs. 59.4 hours; p&lt;0.001) using identical catheter types in both groups, though USG cases were disproportionately classified as difficult (75% vs. 36%) [21]. Shokoohi et al. (2019) prospectively followed 330 adult ED patients with 72-hour follow-up, achieving the highest NOS score (9/9) [20].</w:t>
      </w:r>
    </w:p>
    <w:p w14:paraId="71C693F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Four cohort studies were identified as having major catheter-specification confounding (detailed in the section below): </w:t>
      </w:r>
      <w:r w:rsidRPr="000120A7">
        <w:rPr>
          <w:rFonts w:ascii="Times New Roman" w:hAnsi="Times New Roman" w:cs="Times New Roman"/>
          <w:color w:val="FF0000"/>
          <w:sz w:val="24"/>
          <w:szCs w:val="24"/>
        </w:rPr>
        <w:t>Refosco et al. (2025) [24], Dachepally et al. (2023) [22], Desai et al. (2018) [14], and Paladini et al. (2018) [23]</w:t>
      </w:r>
      <w:r w:rsidRPr="007D7E76">
        <w:rPr>
          <w:rFonts w:ascii="Times New Roman" w:hAnsi="Times New Roman" w:cs="Times New Roman"/>
          <w:sz w:val="24"/>
          <w:szCs w:val="24"/>
        </w:rPr>
        <w:t>. In all four, USG catheters were systematically longer or of different material than comparator catheters, rendering outcome differences unattributable to ultrasound guidance alone.</w:t>
      </w:r>
    </w:p>
    <w:p w14:paraId="6A263FB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Risk of Bias</w:t>
      </w:r>
    </w:p>
    <w:p w14:paraId="5868490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w:t>
      </w:r>
      <w:r w:rsidRPr="000120A7">
        <w:rPr>
          <w:rFonts w:ascii="Times New Roman" w:hAnsi="Times New Roman" w:cs="Times New Roman"/>
          <w:color w:val="FF0000"/>
          <w:sz w:val="24"/>
          <w:szCs w:val="24"/>
        </w:rPr>
        <w:t xml:space="preserve">six </w:t>
      </w:r>
      <w:r w:rsidRPr="007D7E76">
        <w:rPr>
          <w:rFonts w:ascii="Times New Roman" w:hAnsi="Times New Roman" w:cs="Times New Roman"/>
          <w:sz w:val="24"/>
          <w:szCs w:val="24"/>
        </w:rPr>
        <w:t xml:space="preserve">RCTs, </w:t>
      </w:r>
      <w:r w:rsidRPr="000120A7">
        <w:rPr>
          <w:rFonts w:ascii="Times New Roman" w:hAnsi="Times New Roman" w:cs="Times New Roman"/>
          <w:color w:val="FF0000"/>
          <w:sz w:val="24"/>
          <w:szCs w:val="24"/>
        </w:rPr>
        <w:t>five</w:t>
      </w:r>
      <w:r w:rsidRPr="007D7E76">
        <w:rPr>
          <w:rFonts w:ascii="Times New Roman" w:hAnsi="Times New Roman" w:cs="Times New Roman"/>
          <w:sz w:val="24"/>
          <w:szCs w:val="24"/>
        </w:rPr>
        <w:t xml:space="preserve"> were judged to have “some concerns” overall</w:t>
      </w:r>
      <w:r w:rsidRPr="000120A7">
        <w:rPr>
          <w:rFonts w:ascii="Times New Roman" w:hAnsi="Times New Roman" w:cs="Times New Roman"/>
          <w:color w:val="FF0000"/>
          <w:sz w:val="24"/>
          <w:szCs w:val="24"/>
        </w:rPr>
        <w:t xml:space="preserve"> (Kleidon et al., 2025 [12]; Varghese et al., 2025 [17]; Nishizawa et al., 2020 [15]; Bridey et al., 2018 [16]; Avelar et al., 2015 [5]),</w:t>
      </w:r>
      <w:r w:rsidRPr="007D7E76">
        <w:rPr>
          <w:rFonts w:ascii="Times New Roman" w:hAnsi="Times New Roman" w:cs="Times New Roman"/>
          <w:sz w:val="24"/>
          <w:szCs w:val="24"/>
        </w:rPr>
        <w:t xml:space="preserve"> primarily related to performance bias inherent in open-label designs where blinding of the operator is not feasible</w:t>
      </w:r>
      <w:r w:rsidRPr="007D7E76">
        <w:rPr>
          <w:rFonts w:ascii="Times New Roman" w:hAnsi="Times New Roman" w:cs="Times New Roman"/>
          <w:color w:val="C00000"/>
          <w:sz w:val="24"/>
          <w:szCs w:val="24"/>
        </w:rPr>
        <w:t>; for Avelar, complications in the USG arm were ascertained with ultrasound visualization whereas the landmark arm was assessed clinically, a differential outcome ascertainment that may bias the infiltration comparison</w:t>
      </w:r>
      <w:r w:rsidRPr="007D7E76">
        <w:rPr>
          <w:rFonts w:ascii="Times New Roman" w:hAnsi="Times New Roman" w:cs="Times New Roman"/>
          <w:sz w:val="24"/>
          <w:szCs w:val="24"/>
        </w:rPr>
        <w:t>. Leroux et al. (2023) was rated as high risk of bias due to substantial attrition and failure to reach the target sample size [18].</w:t>
      </w:r>
    </w:p>
    <w:p w14:paraId="33C70FD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the nine cohort studies, NOS scores ranged from 5 to 9 (Table 2). Shokoohi et al. (2019) achieved the maximum score of 9/9 [20]. </w:t>
      </w:r>
      <w:r w:rsidRPr="000120A7">
        <w:rPr>
          <w:rFonts w:ascii="Times New Roman" w:hAnsi="Times New Roman" w:cs="Times New Roman"/>
          <w:color w:val="FF0000"/>
          <w:sz w:val="24"/>
          <w:szCs w:val="24"/>
        </w:rPr>
        <w:t>Refosco et al. (2025) [24], Dachepally et al. (2023) [22], Feinsmith et al. (2023) [19], Cottrell et al. (2021) [21], and Paladini et al. (2018) [23]</w:t>
      </w:r>
      <w:r w:rsidRPr="007D7E76">
        <w:rPr>
          <w:rFonts w:ascii="Times New Roman" w:hAnsi="Times New Roman" w:cs="Times New Roman"/>
          <w:sz w:val="24"/>
          <w:szCs w:val="24"/>
        </w:rPr>
        <w:t xml:space="preserve"> each scored 6/9, with points deducted primarily in the comparability domain (catheter type confounding for Dachepally, Paladini, and Refosco; difficulty-classification imbalance for Cottrell). </w:t>
      </w:r>
      <w:r w:rsidRPr="000120A7">
        <w:rPr>
          <w:rFonts w:ascii="Times New Roman" w:hAnsi="Times New Roman" w:cs="Times New Roman"/>
          <w:color w:val="FF0000"/>
          <w:sz w:val="24"/>
          <w:szCs w:val="24"/>
        </w:rPr>
        <w:t>Favot et al. (2019) [25], Desai et al. (2018) [14], and Saltarelli et al. (2015) [26]</w:t>
      </w:r>
      <w:r w:rsidRPr="007D7E76">
        <w:rPr>
          <w:rFonts w:ascii="Times New Roman" w:hAnsi="Times New Roman" w:cs="Times New Roman"/>
          <w:sz w:val="24"/>
          <w:szCs w:val="24"/>
        </w:rPr>
        <w:t xml:space="preserve"> scored 5/9 (</w:t>
      </w:r>
      <w:r w:rsidRPr="0079769B">
        <w:rPr>
          <w:rFonts w:ascii="Times New Roman" w:hAnsi="Times New Roman" w:cs="Times New Roman"/>
          <w:b/>
          <w:bCs/>
          <w:sz w:val="24"/>
          <w:szCs w:val="24"/>
        </w:rPr>
        <w:t>Table 2</w:t>
      </w:r>
      <w:r w:rsidRPr="007D7E76">
        <w:rPr>
          <w:rFonts w:ascii="Times New Roman" w:hAnsi="Times New Roman" w:cs="Times New Roman"/>
          <w:sz w:val="24"/>
          <w:szCs w:val="24"/>
        </w:rPr>
        <w:t>).</w:t>
      </w:r>
    </w:p>
    <w:p w14:paraId="76B7E46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Meta-Analysis Results</w:t>
      </w:r>
    </w:p>
    <w:p w14:paraId="07C224D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Catheter Failure</w:t>
      </w:r>
    </w:p>
    <w:p w14:paraId="3E0B9196" w14:textId="361F7C00"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Four studies reported catheter failure or premature removal as a dichotomous outcome and were eligible for pooling (Kleidon et al., 2025 [12]; Leroux et al., 2023 [18]; Shokoohi et al., 2019 [20]; </w:t>
      </w:r>
      <w:r w:rsidRPr="000120A7">
        <w:rPr>
          <w:rFonts w:ascii="Times New Roman" w:hAnsi="Times New Roman" w:cs="Times New Roman"/>
          <w:color w:val="FF0000"/>
          <w:sz w:val="24"/>
          <w:szCs w:val="24"/>
        </w:rPr>
        <w:t xml:space="preserve">Saltarelli et al., 2015 [26]). The pooled </w:t>
      </w:r>
      <w:r w:rsidRPr="007D7E76">
        <w:rPr>
          <w:rFonts w:ascii="Times New Roman" w:hAnsi="Times New Roman" w:cs="Times New Roman"/>
          <w:sz w:val="24"/>
          <w:szCs w:val="24"/>
        </w:rPr>
        <w:t xml:space="preserve">random-effects RR was 1.23 (95% CI 1.00–1.51; </w:t>
      </w:r>
      <w:r w:rsidRPr="000120A7">
        <w:rPr>
          <w:rFonts w:ascii="Times New Roman" w:hAnsi="Times New Roman" w:cs="Times New Roman"/>
          <w:color w:val="FF0000"/>
          <w:sz w:val="24"/>
          <w:szCs w:val="24"/>
        </w:rPr>
        <w:t>p = 0.056; I² = 0</w:t>
      </w:r>
      <w:r w:rsidR="0074236B">
        <w:rPr>
          <w:rFonts w:ascii="Times New Roman" w:hAnsi="Times New Roman" w:cs="Times New Roman"/>
          <w:color w:val="FF0000"/>
          <w:sz w:val="24"/>
          <w:szCs w:val="24"/>
        </w:rPr>
        <w:t>.0</w:t>
      </w:r>
      <w:r w:rsidRPr="000120A7">
        <w:rPr>
          <w:rFonts w:ascii="Times New Roman" w:hAnsi="Times New Roman" w:cs="Times New Roman"/>
          <w:color w:val="FF0000"/>
          <w:sz w:val="24"/>
          <w:szCs w:val="24"/>
        </w:rPr>
        <w:t>%</w:t>
      </w:r>
      <w:r w:rsidRPr="007D7E76">
        <w:rPr>
          <w:rFonts w:ascii="Times New Roman" w:hAnsi="Times New Roman" w:cs="Times New Roman"/>
          <w:sz w:val="24"/>
          <w:szCs w:val="24"/>
        </w:rPr>
        <w:t>), indicating no statistically significant difference between USG and landmark groups (</w:t>
      </w:r>
      <w:r w:rsidRPr="0074236B">
        <w:rPr>
          <w:rFonts w:ascii="Times New Roman" w:hAnsi="Times New Roman" w:cs="Times New Roman"/>
          <w:b/>
          <w:bCs/>
          <w:sz w:val="24"/>
          <w:szCs w:val="24"/>
        </w:rPr>
        <w:t>Figure 3</w:t>
      </w:r>
      <w:r w:rsidRPr="007D7E76">
        <w:rPr>
          <w:rFonts w:ascii="Times New Roman" w:hAnsi="Times New Roman" w:cs="Times New Roman"/>
          <w:sz w:val="24"/>
          <w:szCs w:val="24"/>
        </w:rPr>
        <w:t xml:space="preserve">). Although the lower bound rounds to 1.00 at two decimal places, </w:t>
      </w:r>
      <w:r w:rsidRPr="00E061A3">
        <w:rPr>
          <w:rFonts w:ascii="Times New Roman" w:hAnsi="Times New Roman" w:cs="Times New Roman"/>
          <w:color w:val="FF0000"/>
          <w:sz w:val="24"/>
          <w:szCs w:val="24"/>
        </w:rPr>
        <w:t>the precise value (0.995) confirms</w:t>
      </w:r>
      <w:r w:rsidRPr="007D7E76">
        <w:rPr>
          <w:rFonts w:ascii="Times New Roman" w:hAnsi="Times New Roman" w:cs="Times New Roman"/>
          <w:sz w:val="24"/>
          <w:szCs w:val="24"/>
        </w:rPr>
        <w:t xml:space="preserve"> that the confidence interval crossed unity. The </w:t>
      </w:r>
      <w:r w:rsidRPr="00E061A3">
        <w:rPr>
          <w:rFonts w:ascii="Times New Roman" w:hAnsi="Times New Roman" w:cs="Times New Roman"/>
          <w:color w:val="FF0000"/>
          <w:sz w:val="24"/>
          <w:szCs w:val="24"/>
        </w:rPr>
        <w:t>point estimate favored landmark</w:t>
      </w:r>
      <w:r w:rsidRPr="007D7E76">
        <w:rPr>
          <w:rFonts w:ascii="Times New Roman" w:hAnsi="Times New Roman" w:cs="Times New Roman"/>
          <w:sz w:val="24"/>
          <w:szCs w:val="24"/>
        </w:rPr>
        <w:t xml:space="preserve"> insertion. In a post-hoc sensitivity analysis using the REML estimator and HKSJ confidence interval adjustment (not pre-specified in PROSPERO), the result was directionally consistent (RR 1.23, 95% CI 1.00–1.51; p = 0.047). The primary DL estimate (p = 0.056) and HKSJ sensitivity estimate (p = 0.047) both straddle the conventional α = 0.05 threshold, indicating that statistical significance is borderline and sensitive to estimator choice; clinical interpretation should therefore emphasize the point estimate and the overall pattern of evidence rather than significance alone. A fourth cohort study </w:t>
      </w:r>
      <w:r w:rsidRPr="00E061A3">
        <w:rPr>
          <w:rFonts w:ascii="Times New Roman" w:hAnsi="Times New Roman" w:cs="Times New Roman"/>
          <w:color w:val="FF0000"/>
          <w:sz w:val="24"/>
          <w:szCs w:val="24"/>
        </w:rPr>
        <w:t xml:space="preserve">(Desai et al. 2018) [14] </w:t>
      </w:r>
      <w:r w:rsidRPr="007D7E76">
        <w:rPr>
          <w:rFonts w:ascii="Times New Roman" w:hAnsi="Times New Roman" w:cs="Times New Roman"/>
          <w:sz w:val="24"/>
          <w:szCs w:val="24"/>
        </w:rPr>
        <w:t xml:space="preserve">was eligible by outcome but excluded from primary pooling due to selection bias and catheter length confounding. Leave-one-out sensitivity analysis demonstrated that removing Kleidon et al. (2025), the only pediatric study in this pool, shifted the estimate to RR 1.28 (95% CI 1.02–1.60; p = 0.032), while removing Saltarelli et al. (2015) [26], the largest contributor at 49.8% random-effects weight, attenuated the estimate to RR 1.18 (95% CI 0.88–1.58; p = 0.28); the borderline catheter-failure result therefore depends substantially on the largest single study (see </w:t>
      </w:r>
      <w:r w:rsidRPr="00A95796">
        <w:rPr>
          <w:rFonts w:ascii="Times New Roman" w:hAnsi="Times New Roman" w:cs="Times New Roman"/>
          <w:b/>
          <w:bCs/>
          <w:sz w:val="24"/>
          <w:szCs w:val="24"/>
        </w:rPr>
        <w:t>Supplementary Material S4</w:t>
      </w:r>
      <w:r w:rsidRPr="007D7E76">
        <w:rPr>
          <w:rFonts w:ascii="Times New Roman" w:hAnsi="Times New Roman" w:cs="Times New Roman"/>
          <w:sz w:val="24"/>
          <w:szCs w:val="24"/>
        </w:rPr>
        <w:t>: leave-one-out for catheter failure).</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This borderline signal also arose predominantly from the cohort studies; the RCT-only estimate was null (RR 1.03, 95% CI 0.66–1.61), as detailed in the design-stratified analysis below.</w:t>
      </w:r>
    </w:p>
    <w:p w14:paraId="5CDD06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 post-hoc design-stratified analysis showed that the catheter-failure signal arose primarily from the cohort studies (k = 2; RR 1.29, 95% CI 1.02–1.63; p = 0.036), whereas the RCT-only estimate was essentially flat (k = 2; RR 1.03, 95% CI 0.66–1.61; </w:t>
      </w:r>
      <w:r w:rsidRPr="00E061A3">
        <w:rPr>
          <w:rFonts w:ascii="Times New Roman" w:hAnsi="Times New Roman" w:cs="Times New Roman"/>
          <w:color w:val="FF0000"/>
          <w:sz w:val="24"/>
          <w:szCs w:val="24"/>
        </w:rPr>
        <w:t>p = 0.91</w:t>
      </w:r>
      <w:r w:rsidRPr="007D7E76">
        <w:rPr>
          <w:rFonts w:ascii="Times New Roman" w:hAnsi="Times New Roman" w:cs="Times New Roman"/>
          <w:sz w:val="24"/>
          <w:szCs w:val="24"/>
        </w:rPr>
        <w:t>). The design-by-effect interaction test was non-significant (p = 0.37); with only 2 studies in each design tier this comparison is severely underpowered. This pattern suggests that the overall estimate is influenced more by the cohort studies than by the RCTs.</w:t>
      </w:r>
    </w:p>
    <w:p w14:paraId="2655025F"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Primary Outcome: Dwell Time</w:t>
      </w:r>
    </w:p>
    <w:p w14:paraId="2648B7D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Three studies reported dwell time in formats suitable for pooling (Kleidon et al., 2025; Leroux et al., 2023; Cottrell et al., 2021). However, pooling was precluded by substantial heterogeneity (I² = 91.9%; Figure 4). Kleidon et al. reported no difference (median 47.1 vs. 47.7 hours), Leroux et al. similarly found no difference (mean 23.5 vs. 24.7 hours; p = 0.808), while Cottrell et al. reported a significant 36.7-hour advantage favoring USG (mean 96.06 vs. 59.39 hours; p &lt; 0.001) (</w:t>
      </w:r>
      <w:r w:rsidRPr="00AE2C82">
        <w:rPr>
          <w:rFonts w:ascii="Times New Roman" w:hAnsi="Times New Roman" w:cs="Times New Roman"/>
          <w:b/>
          <w:bCs/>
          <w:sz w:val="24"/>
          <w:szCs w:val="24"/>
        </w:rPr>
        <w:t>Figure 4</w:t>
      </w:r>
      <w:r w:rsidRPr="007D7E76">
        <w:rPr>
          <w:rFonts w:ascii="Times New Roman" w:hAnsi="Times New Roman" w:cs="Times New Roman"/>
          <w:sz w:val="24"/>
          <w:szCs w:val="24"/>
        </w:rPr>
        <w:t xml:space="preserve">). The conflicting results likely reflect differences in populations, operator expertise, and clinical context: Cottrell et al. studied </w:t>
      </w:r>
      <w:r w:rsidRPr="00E061A3">
        <w:rPr>
          <w:rFonts w:ascii="Times New Roman" w:hAnsi="Times New Roman" w:cs="Times New Roman"/>
          <w:color w:val="FF0000"/>
          <w:sz w:val="24"/>
          <w:szCs w:val="24"/>
        </w:rPr>
        <w:t>a specialized vascular</w:t>
      </w:r>
      <w:r w:rsidRPr="007D7E76">
        <w:rPr>
          <w:rFonts w:ascii="Times New Roman" w:hAnsi="Times New Roman" w:cs="Times New Roman"/>
          <w:sz w:val="24"/>
          <w:szCs w:val="24"/>
        </w:rPr>
        <w:t xml:space="preserve"> access team with extensive USG experience in a pediatric setting, where USG may confer particular advantages due to the unique challenges of pediatric venous access. Narrative synthesis of these three unconfounded studies suggests that any dwell time benefit of USG may be setting-dependent and operator-dependent rather than </w:t>
      </w:r>
      <w:r w:rsidRPr="00E061A3">
        <w:rPr>
          <w:rFonts w:ascii="Times New Roman" w:hAnsi="Times New Roman" w:cs="Times New Roman"/>
          <w:color w:val="FF0000"/>
          <w:sz w:val="24"/>
          <w:szCs w:val="24"/>
        </w:rPr>
        <w:t>a generalizable effect</w:t>
      </w:r>
      <w:r w:rsidRPr="007D7E76">
        <w:rPr>
          <w:rFonts w:ascii="Times New Roman" w:hAnsi="Times New Roman" w:cs="Times New Roman"/>
          <w:sz w:val="24"/>
          <w:szCs w:val="24"/>
        </w:rPr>
        <w:t xml:space="preserve"> of the guidance modality. Two additional studies reporting dwell time (Refosco 2025, Desai 2018) </w:t>
      </w:r>
      <w:r w:rsidRPr="00E061A3">
        <w:rPr>
          <w:rFonts w:ascii="Times New Roman" w:hAnsi="Times New Roman" w:cs="Times New Roman"/>
          <w:color w:val="FF0000"/>
          <w:sz w:val="24"/>
          <w:szCs w:val="24"/>
        </w:rPr>
        <w:t>[14, 24]</w:t>
      </w:r>
      <w:r w:rsidRPr="007D7E76">
        <w:rPr>
          <w:rFonts w:ascii="Times New Roman" w:hAnsi="Times New Roman" w:cs="Times New Roman"/>
          <w:sz w:val="24"/>
          <w:szCs w:val="24"/>
        </w:rPr>
        <w:t xml:space="preserve"> were excluded from this analysis due to catheter length confounding.</w:t>
      </w:r>
    </w:p>
    <w:p w14:paraId="4EC1E8A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Infiltration</w:t>
      </w:r>
    </w:p>
    <w:p w14:paraId="0007534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color w:val="C00000"/>
          <w:sz w:val="24"/>
          <w:szCs w:val="24"/>
        </w:rPr>
        <w:t>Three</w:t>
      </w:r>
      <w:r w:rsidRPr="007D7E76">
        <w:rPr>
          <w:rFonts w:ascii="Times New Roman" w:hAnsi="Times New Roman" w:cs="Times New Roman"/>
          <w:sz w:val="24"/>
          <w:szCs w:val="24"/>
        </w:rPr>
        <w:t xml:space="preserve"> studies reported infiltration rates (Varghese et al., 2025 [17]; Saltarelli et al., 2015 [26]</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Avelar et al., 2015 [5]</w:t>
      </w:r>
      <w:r w:rsidRPr="007D7E76">
        <w:rPr>
          <w:rFonts w:ascii="Times New Roman" w:hAnsi="Times New Roman" w:cs="Times New Roman"/>
          <w:sz w:val="24"/>
          <w:szCs w:val="24"/>
        </w:rPr>
        <w:t xml:space="preserve">). The pooled RR was </w:t>
      </w:r>
      <w:r w:rsidRPr="00E061A3">
        <w:rPr>
          <w:rFonts w:ascii="Times New Roman" w:hAnsi="Times New Roman" w:cs="Times New Roman"/>
          <w:color w:val="FF0000"/>
          <w:sz w:val="24"/>
          <w:szCs w:val="24"/>
        </w:rPr>
        <w:t>1.30 (95% CI 0.82–2.05; p = 0.26; I² = 48.8%)</w:t>
      </w:r>
      <w:r w:rsidRPr="007D7E76">
        <w:rPr>
          <w:rFonts w:ascii="Times New Roman" w:hAnsi="Times New Roman" w:cs="Times New Roman"/>
          <w:sz w:val="24"/>
          <w:szCs w:val="24"/>
        </w:rPr>
        <w:t>, indicating no significant difference (</w:t>
      </w:r>
      <w:r w:rsidRPr="00735826">
        <w:rPr>
          <w:rFonts w:ascii="Times New Roman" w:hAnsi="Times New Roman" w:cs="Times New Roman"/>
          <w:b/>
          <w:bCs/>
          <w:sz w:val="24"/>
          <w:szCs w:val="24"/>
        </w:rPr>
        <w:t>Figure 5</w:t>
      </w:r>
      <w:r w:rsidRPr="007D7E76">
        <w:rPr>
          <w:rFonts w:ascii="Times New Roman" w:hAnsi="Times New Roman" w:cs="Times New Roman"/>
          <w:sz w:val="24"/>
          <w:szCs w:val="24"/>
        </w:rPr>
        <w:t>).</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A sensitivity analysis using the REML estimator with Hartung-Knapp-Sidik-Jonkman adjustment was consistent (RR 1.33, 95% CI 0.62–2.85; p = 0.25).</w:t>
      </w:r>
      <w:r w:rsidRPr="007D7E76">
        <w:rPr>
          <w:rFonts w:ascii="Times New Roman" w:hAnsi="Times New Roman" w:cs="Times New Roman"/>
          <w:sz w:val="24"/>
          <w:szCs w:val="24"/>
        </w:rPr>
        <w:t xml:space="preserve"> Varghese et al. found a non-significant trend favoring USG (2.22% vs. 11.11%; p = 0.09) [17], while Saltarelli et al. reported a non-significant trend against USG (7.6% vs. 5.9%; OR 1.31, 95% CI 0.92–1.88) [26]</w:t>
      </w:r>
      <w:r w:rsidRPr="007D7E76">
        <w:rPr>
          <w:rFonts w:ascii="Times New Roman" w:hAnsi="Times New Roman" w:cs="Times New Roman"/>
          <w:color w:val="C00000"/>
          <w:sz w:val="24"/>
          <w:szCs w:val="24"/>
        </w:rPr>
        <w:t xml:space="preserve">; </w:t>
      </w:r>
      <w:r w:rsidRPr="00E061A3">
        <w:rPr>
          <w:rFonts w:ascii="Times New Roman" w:hAnsi="Times New Roman" w:cs="Times New Roman"/>
          <w:color w:val="FF0000"/>
          <w:sz w:val="24"/>
          <w:szCs w:val="24"/>
        </w:rPr>
        <w:t>the newly included Avelar trial reported significantly higher infiltration with USG (34/161 [21.1%] vs. 23/178 [12.9%]; P = .025) [5], although complications in its USG arm were ascertained with ultrasound visualization, which may have increased detection</w:t>
      </w:r>
      <w:r w:rsidRPr="007D7E76">
        <w:rPr>
          <w:rFonts w:ascii="Times New Roman" w:hAnsi="Times New Roman" w:cs="Times New Roman"/>
          <w:sz w:val="24"/>
          <w:szCs w:val="24"/>
        </w:rPr>
        <w:t xml:space="preserve"> (</w:t>
      </w:r>
      <w:r w:rsidRPr="0087013B">
        <w:rPr>
          <w:rFonts w:ascii="Times New Roman" w:hAnsi="Times New Roman" w:cs="Times New Roman"/>
          <w:b/>
          <w:bCs/>
          <w:sz w:val="24"/>
          <w:szCs w:val="24"/>
        </w:rPr>
        <w:t>Figure 5</w:t>
      </w:r>
      <w:r w:rsidRPr="007D7E76">
        <w:rPr>
          <w:rFonts w:ascii="Times New Roman" w:hAnsi="Times New Roman" w:cs="Times New Roman"/>
          <w:sz w:val="24"/>
          <w:szCs w:val="24"/>
        </w:rPr>
        <w:t>).</w:t>
      </w:r>
    </w:p>
    <w:p w14:paraId="34132B0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Secondary Outcome: Extravasation</w:t>
      </w:r>
    </w:p>
    <w:p w14:paraId="5E678483" w14:textId="77777777" w:rsidR="003C5087" w:rsidRPr="00E061A3" w:rsidRDefault="00E2355C">
      <w:pPr>
        <w:rPr>
          <w:rFonts w:ascii="Times New Roman" w:hAnsi="Times New Roman" w:cs="Times New Roman"/>
          <w:color w:val="FF0000"/>
          <w:sz w:val="24"/>
          <w:szCs w:val="24"/>
        </w:rPr>
      </w:pPr>
      <w:r w:rsidRPr="007D7E76">
        <w:rPr>
          <w:rFonts w:ascii="Times New Roman" w:hAnsi="Times New Roman" w:cs="Times New Roman"/>
          <w:sz w:val="24"/>
          <w:szCs w:val="24"/>
        </w:rPr>
        <w:t xml:space="preserve">Three studies reported extravasation events </w:t>
      </w:r>
      <w:r w:rsidRPr="00E061A3">
        <w:rPr>
          <w:rFonts w:ascii="Times New Roman" w:hAnsi="Times New Roman" w:cs="Times New Roman"/>
          <w:color w:val="FF0000"/>
          <w:sz w:val="24"/>
          <w:szCs w:val="24"/>
        </w:rPr>
        <w:t>(Nishizawa et al. 2020, Favot et al. 2019, Bridey et al. 2018) [15, 16, 25]</w:t>
      </w:r>
      <w:r w:rsidRPr="007D7E76">
        <w:rPr>
          <w:rFonts w:ascii="Times New Roman" w:hAnsi="Times New Roman" w:cs="Times New Roman"/>
          <w:sz w:val="24"/>
          <w:szCs w:val="24"/>
        </w:rPr>
        <w:t xml:space="preserve">; however, the fundamental incompatibility of their populations and outcome definitions precludes any meaningful pooled inference, and individual study results are the primary informative unit. </w:t>
      </w:r>
      <w:r w:rsidRPr="00E061A3">
        <w:rPr>
          <w:rFonts w:ascii="Times New Roman" w:hAnsi="Times New Roman" w:cs="Times New Roman"/>
          <w:color w:val="FF0000"/>
          <w:sz w:val="24"/>
          <w:szCs w:val="24"/>
        </w:rPr>
        <w:t>Nishizawa et al. reported a directionally opposite finding (13.6% vs 28.5%, p = 0.394) in a small ICU RCT (</w:t>
      </w:r>
      <w:r w:rsidRPr="0087013B">
        <w:rPr>
          <w:rFonts w:ascii="Times New Roman" w:hAnsi="Times New Roman" w:cs="Times New Roman"/>
          <w:b/>
          <w:bCs/>
          <w:color w:val="FF0000"/>
          <w:sz w:val="24"/>
          <w:szCs w:val="24"/>
        </w:rPr>
        <w:t>Supplementary figure 1</w:t>
      </w:r>
      <w:r w:rsidRPr="00E061A3">
        <w:rPr>
          <w:rFonts w:ascii="Times New Roman" w:hAnsi="Times New Roman" w:cs="Times New Roman"/>
          <w:color w:val="FF0000"/>
          <w:sz w:val="24"/>
          <w:szCs w:val="24"/>
        </w:rPr>
        <w:t>) [15]. Favot et al. reported contrast extravasation rates of 4.1% with USG versus 0.21% with standard PIVCs (RR 19.4, 95% CI 10.6–35.6), confined to a highly specific high-pressure CT contrast injection context (Supplementary figure 1) [25]. Bridey et al. found extravasation as a reason for catheter removal in 34% of USG versus 18% of landmark catheters (p = 0.094) in an adult ICU setting (</w:t>
      </w:r>
      <w:r w:rsidRPr="0087013B">
        <w:rPr>
          <w:rFonts w:ascii="Times New Roman" w:hAnsi="Times New Roman" w:cs="Times New Roman"/>
          <w:b/>
          <w:bCs/>
          <w:color w:val="FF0000"/>
          <w:sz w:val="24"/>
          <w:szCs w:val="24"/>
        </w:rPr>
        <w:t>Supplementary figure 1</w:t>
      </w:r>
      <w:r w:rsidRPr="00E061A3">
        <w:rPr>
          <w:rFonts w:ascii="Times New Roman" w:hAnsi="Times New Roman" w:cs="Times New Roman"/>
          <w:color w:val="FF0000"/>
          <w:sz w:val="24"/>
          <w:szCs w:val="24"/>
        </w:rPr>
        <w:t>) [16]. In keeping with the pre-specified I² &gt; 75% rule, these three studies were not pooled (I² = 95.7%) and no summary estimate is reported (</w:t>
      </w:r>
      <w:r w:rsidRPr="0087013B">
        <w:rPr>
          <w:rFonts w:ascii="Times New Roman" w:hAnsi="Times New Roman" w:cs="Times New Roman"/>
          <w:b/>
          <w:bCs/>
          <w:color w:val="FF0000"/>
          <w:sz w:val="24"/>
          <w:szCs w:val="24"/>
        </w:rPr>
        <w:t>Supplementary Figure 1</w:t>
      </w:r>
      <w:r w:rsidRPr="00E061A3">
        <w:rPr>
          <w:rFonts w:ascii="Times New Roman" w:hAnsi="Times New Roman" w:cs="Times New Roman"/>
          <w:color w:val="FF0000"/>
          <w:sz w:val="24"/>
          <w:szCs w:val="24"/>
        </w:rPr>
        <w:t>).</w:t>
      </w:r>
    </w:p>
    <w:p w14:paraId="4453878E"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Time-to-event-adjacent estimates (not pooled)</w:t>
      </w:r>
    </w:p>
    <w:p w14:paraId="538436F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Two studies reported effect estimates with a time-to-event component but using different statistical metrics, precluding meaningful meta-analytic pooling. </w:t>
      </w:r>
      <w:r w:rsidRPr="00E061A3">
        <w:rPr>
          <w:rFonts w:ascii="Times New Roman" w:hAnsi="Times New Roman" w:cs="Times New Roman"/>
          <w:color w:val="FF0000"/>
          <w:sz w:val="24"/>
          <w:szCs w:val="24"/>
        </w:rPr>
        <w:t xml:space="preserve">Feinsmith et al. (2023) </w:t>
      </w:r>
      <w:r w:rsidRPr="007D7E76">
        <w:rPr>
          <w:rFonts w:ascii="Times New Roman" w:hAnsi="Times New Roman" w:cs="Times New Roman"/>
          <w:sz w:val="24"/>
          <w:szCs w:val="24"/>
        </w:rPr>
        <w:t xml:space="preserve">reported an adjusted hazard ratio (HR) of 0.91 (95% CI 0.87–0.95) favoring USG for catheter survival at 30 days, derived from a multivariable Cox proportional hazards model </w:t>
      </w:r>
      <w:r w:rsidRPr="00E061A3">
        <w:rPr>
          <w:rFonts w:ascii="Times New Roman" w:hAnsi="Times New Roman" w:cs="Times New Roman"/>
          <w:color w:val="FF0000"/>
          <w:sz w:val="24"/>
          <w:szCs w:val="24"/>
        </w:rPr>
        <w:t>(</w:t>
      </w:r>
      <w:r w:rsidRPr="0087013B">
        <w:rPr>
          <w:rFonts w:ascii="Times New Roman" w:hAnsi="Times New Roman" w:cs="Times New Roman"/>
          <w:b/>
          <w:bCs/>
          <w:color w:val="FF0000"/>
          <w:sz w:val="24"/>
          <w:szCs w:val="24"/>
        </w:rPr>
        <w:t>Supplementary Figure 2</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Shokoohi et al. (2019) reported a premature removal risk ratio (RR) of 1.26 (95% CI 0.88–1.80) trending against USG at a fixed 72-hour follow-up window, a cumulative-incidence ratio rather than a hazard ratio </w:t>
      </w:r>
      <w:r w:rsidRPr="00E061A3">
        <w:rPr>
          <w:rFonts w:ascii="Times New Roman" w:hAnsi="Times New Roman" w:cs="Times New Roman"/>
          <w:color w:val="FF0000"/>
          <w:sz w:val="24"/>
          <w:szCs w:val="24"/>
        </w:rPr>
        <w:t>(</w:t>
      </w:r>
      <w:r w:rsidRPr="0087013B">
        <w:rPr>
          <w:rFonts w:ascii="Times New Roman" w:hAnsi="Times New Roman" w:cs="Times New Roman"/>
          <w:b/>
          <w:bCs/>
          <w:color w:val="FF0000"/>
          <w:sz w:val="24"/>
          <w:szCs w:val="24"/>
        </w:rPr>
        <w:t>Supplementary Figure 2</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Because HR and fixed-window RR are conceptually different effect measures (the HR conditions on time-at-risk; the RR does not), an attempted pooling on the log-HR scale would mix incompatible quantities and risk producing a spuriously precise summary; we therefore present each study’s estimate individually without a pooled summary statistic. </w:t>
      </w:r>
      <w:r w:rsidRPr="00E061A3">
        <w:rPr>
          <w:rFonts w:ascii="Times New Roman" w:hAnsi="Times New Roman" w:cs="Times New Roman"/>
          <w:color w:val="FF0000"/>
          <w:sz w:val="24"/>
          <w:szCs w:val="24"/>
        </w:rPr>
        <w:t xml:space="preserve">The divergent directions of the 30-day adjusted HR and the 72-hour cumulative-incidence RR most plausibly reflect their different time windows and effect metrics rather than a true difference in catheter performance; the corresponding forest plot has been relocated to </w:t>
      </w:r>
      <w:r w:rsidRPr="0087013B">
        <w:rPr>
          <w:rFonts w:ascii="Times New Roman" w:hAnsi="Times New Roman" w:cs="Times New Roman"/>
          <w:b/>
          <w:bCs/>
          <w:color w:val="FF0000"/>
          <w:sz w:val="24"/>
          <w:szCs w:val="24"/>
        </w:rPr>
        <w:t>Supplementary Figure 2</w:t>
      </w:r>
      <w:r w:rsidRPr="00E061A3">
        <w:rPr>
          <w:rFonts w:ascii="Times New Roman" w:hAnsi="Times New Roman" w:cs="Times New Roman"/>
          <w:color w:val="FF0000"/>
          <w:sz w:val="24"/>
          <w:szCs w:val="24"/>
        </w:rPr>
        <w:t xml:space="preserve"> [19, 20].</w:t>
      </w:r>
    </w:p>
    <w:p w14:paraId="123E710A"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Subgroup and Sensitivity Analyses</w:t>
      </w:r>
    </w:p>
    <w:p w14:paraId="00833A0B"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Adult vs. Pediatric Subgroup (Catheter Failure)</w:t>
      </w:r>
    </w:p>
    <w:p w14:paraId="45566E5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Among adult studies (k = 3), the pooled RR was 1.28 (95% CI 1.02–1.60; p = 0.03), with the point estimate trending </w:t>
      </w:r>
      <w:r w:rsidRPr="00E061A3">
        <w:rPr>
          <w:rFonts w:ascii="Times New Roman" w:hAnsi="Times New Roman" w:cs="Times New Roman"/>
          <w:color w:val="FF0000"/>
          <w:sz w:val="24"/>
          <w:szCs w:val="24"/>
        </w:rPr>
        <w:t>unfavorable to USG (</w:t>
      </w:r>
      <w:r w:rsidRPr="00756F10">
        <w:rPr>
          <w:rFonts w:ascii="Times New Roman" w:hAnsi="Times New Roman" w:cs="Times New Roman"/>
          <w:b/>
          <w:bCs/>
          <w:color w:val="FF0000"/>
          <w:sz w:val="24"/>
          <w:szCs w:val="24"/>
        </w:rPr>
        <w:t>Figure 6</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Only one pediatric study (Kleidon et al., 2025) contributed to this outcome, with RR 0.95 suggesting no difference </w:t>
      </w:r>
      <w:r w:rsidRPr="00E061A3">
        <w:rPr>
          <w:rFonts w:ascii="Times New Roman" w:hAnsi="Times New Roman" w:cs="Times New Roman"/>
          <w:color w:val="FF0000"/>
          <w:sz w:val="24"/>
          <w:szCs w:val="24"/>
        </w:rPr>
        <w:t>(</w:t>
      </w:r>
      <w:r w:rsidRPr="00756F10">
        <w:rPr>
          <w:rFonts w:ascii="Times New Roman" w:hAnsi="Times New Roman" w:cs="Times New Roman"/>
          <w:b/>
          <w:bCs/>
          <w:color w:val="FF0000"/>
          <w:sz w:val="24"/>
          <w:szCs w:val="24"/>
        </w:rPr>
        <w:t>Figure 6</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xml:space="preserve">. The test for subgroup differences was not significant (p = 0.32), indicating that the observed adult-subgroup result should be interpreted as hypothesis-generating rather than confirmatory </w:t>
      </w:r>
      <w:r w:rsidRPr="00E061A3">
        <w:rPr>
          <w:rFonts w:ascii="Times New Roman" w:hAnsi="Times New Roman" w:cs="Times New Roman"/>
          <w:color w:val="FF0000"/>
          <w:sz w:val="24"/>
          <w:szCs w:val="24"/>
        </w:rPr>
        <w:t>(</w:t>
      </w:r>
      <w:r w:rsidRPr="00756F10">
        <w:rPr>
          <w:rFonts w:ascii="Times New Roman" w:hAnsi="Times New Roman" w:cs="Times New Roman"/>
          <w:b/>
          <w:bCs/>
          <w:color w:val="FF0000"/>
          <w:sz w:val="24"/>
          <w:szCs w:val="24"/>
        </w:rPr>
        <w:t>Figure 6</w:t>
      </w:r>
      <w:r w:rsidRPr="00E061A3">
        <w:rPr>
          <w:rFonts w:ascii="Times New Roman" w:hAnsi="Times New Roman" w:cs="Times New Roman"/>
          <w:color w:val="FF0000"/>
          <w:sz w:val="24"/>
          <w:szCs w:val="24"/>
        </w:rPr>
        <w:t>)</w:t>
      </w:r>
      <w:r w:rsidRPr="007D7E76">
        <w:rPr>
          <w:rFonts w:ascii="Times New Roman" w:hAnsi="Times New Roman" w:cs="Times New Roman"/>
          <w:sz w:val="24"/>
          <w:szCs w:val="24"/>
        </w:rPr>
        <w:t>. (See “Primary Outcome: Catheter Failure” above for the post-hoc design-stratified analysis [RCT-only vs cohort-only] and the leave-one-out sensitivity analysis showing dependence on the largest cohort study.)</w:t>
      </w:r>
    </w:p>
    <w:p w14:paraId="1FD30DB8"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Studies with Major Confounding</w:t>
      </w:r>
    </w:p>
    <w:p w14:paraId="7EC2072F" w14:textId="72861EA0"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Four studies were excluded from the primary pooled analyses due to systematic differences in catheter specifications between groups. Refosco et al. (</w:t>
      </w:r>
      <w:r w:rsidRPr="007D7E76">
        <w:rPr>
          <w:rFonts w:ascii="Times New Roman" w:hAnsi="Times New Roman" w:cs="Times New Roman"/>
          <w:color w:val="C00000"/>
          <w:sz w:val="24"/>
          <w:szCs w:val="24"/>
        </w:rPr>
        <w:t>2025</w:t>
      </w:r>
      <w:r w:rsidRPr="007D7E76">
        <w:rPr>
          <w:rFonts w:ascii="Times New Roman" w:hAnsi="Times New Roman" w:cs="Times New Roman"/>
          <w:sz w:val="24"/>
          <w:szCs w:val="24"/>
        </w:rPr>
        <w:t>) reported longer dwell times (5.3 ± 4.0 vs. 2.5 ± 1.8 days; p &lt; 0.001) and fewer complications (34% vs. 70%; p &lt; 0.001) with USG in a pediatric ED, but USG cannulas were predominantly 64 mm long peripheral catheters compared with 19-32 mm short cannulas in the blind group [24]. Dachepally et al. (2023) reported dramatically longer dwell times for USG catheters (median 219 vs. 108 hours; HR 2.20, 95% CI 1.45–3.34) in a pediatric ICU setting, but USG catheters were exclusively 4.4 cm in length compared with 1.9–3.2 cm in the traditional group [22]. Desai et al. (2018) similarly reported longer Kaplan-Meier median survival with USG (143 vs 89 hours, log-rank p&lt;0.001) in a pediatric ED, but USG patients disproportionately had a history of difficult access (55% vs 7.2%) and the authors acknowledged that the majority of USG catheters were longer than traditional catheters [14]. Paladini et al. (2018) reported significantly longer dwell times (9.2 +/- 6.0 vs. 3.2 +/- 2.1 days; p &lt; 0.0001) and fewer complications (25% vs. 70%; p = 0.003) with USG, but USG catheters were 8 cm polyurethane cannulas placed via Seldinger technique versus short Teflon catheters in the landmark group [23]. In all four studies, the observed benefits are more plausibly attributed to greater intravascular catheter length and catheter material, and in Desai, selection bias, rather than to ultrasound guidance per se. In a sensitivity analysis including all studies reporting dwell time (adding Refosco and Desai to the confounded set), heterogeneity remained extreme.</w:t>
      </w:r>
    </w:p>
    <w:p w14:paraId="1E51CFFF" w14:textId="43A52475" w:rsidR="00725F8B" w:rsidRDefault="00725F8B">
      <w:pPr>
        <w:rPr>
          <w:rFonts w:ascii="Times New Roman" w:hAnsi="Times New Roman" w:cs="Times New Roman"/>
          <w:sz w:val="24"/>
          <w:szCs w:val="24"/>
        </w:rPr>
      </w:pPr>
    </w:p>
    <w:p w14:paraId="31746689" w14:textId="77777777" w:rsidR="00725F8B" w:rsidRPr="007D7E76" w:rsidRDefault="00725F8B">
      <w:pPr>
        <w:rPr>
          <w:rFonts w:ascii="Times New Roman" w:hAnsi="Times New Roman" w:cs="Times New Roman"/>
          <w:sz w:val="24"/>
          <w:szCs w:val="24"/>
        </w:rPr>
      </w:pPr>
    </w:p>
    <w:p w14:paraId="749A90E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Discussion</w:t>
      </w:r>
    </w:p>
    <w:p w14:paraId="68B4FCD9"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Interpretation of Main Findings</w:t>
      </w:r>
    </w:p>
    <w:p w14:paraId="02550D7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w:t>
      </w:r>
      <w:proofErr w:type="gramStart"/>
      <w:r w:rsidRPr="007D7E76">
        <w:rPr>
          <w:rFonts w:ascii="Times New Roman" w:hAnsi="Times New Roman" w:cs="Times New Roman"/>
          <w:sz w:val="24"/>
          <w:szCs w:val="24"/>
        </w:rPr>
        <w:t>is</w:t>
      </w:r>
      <w:proofErr w:type="gramEnd"/>
      <w:r w:rsidRPr="007D7E76">
        <w:rPr>
          <w:rFonts w:ascii="Times New Roman" w:hAnsi="Times New Roman" w:cs="Times New Roman"/>
          <w:sz w:val="24"/>
          <w:szCs w:val="24"/>
        </w:rPr>
        <w:t xml:space="preserve">, to our knowledge, the first to specifically and comprehensively evaluate post-insertion outcomes of USG compared with landmark PIVC placement. Across </w:t>
      </w:r>
      <w:r w:rsidRPr="00176099">
        <w:rPr>
          <w:rFonts w:ascii="Times New Roman" w:hAnsi="Times New Roman" w:cs="Times New Roman"/>
          <w:color w:val="FF0000"/>
          <w:sz w:val="24"/>
          <w:szCs w:val="24"/>
        </w:rPr>
        <w:t>15</w:t>
      </w:r>
      <w:r w:rsidRPr="007D7E76">
        <w:rPr>
          <w:rFonts w:ascii="Times New Roman" w:hAnsi="Times New Roman" w:cs="Times New Roman"/>
          <w:sz w:val="24"/>
          <w:szCs w:val="24"/>
        </w:rPr>
        <w:t xml:space="preserve"> studies enrolling </w:t>
      </w:r>
      <w:r w:rsidRPr="00176099">
        <w:rPr>
          <w:rFonts w:ascii="Times New Roman" w:hAnsi="Times New Roman" w:cs="Times New Roman"/>
          <w:color w:val="FF0000"/>
          <w:sz w:val="24"/>
          <w:szCs w:val="24"/>
        </w:rPr>
        <w:t>78,591</w:t>
      </w:r>
      <w:r w:rsidRPr="007D7E76">
        <w:rPr>
          <w:rFonts w:ascii="Times New Roman" w:hAnsi="Times New Roman" w:cs="Times New Roman"/>
          <w:sz w:val="24"/>
          <w:szCs w:val="24"/>
        </w:rPr>
        <w:t xml:space="preserve"> participants, we found no statistically significant evidence that USG insertion improves catheter failure rates, dwell time, or other post-insertion complications. The pooled RR for catheter failure was 1.23 (95% CI 1.00–1.51; p = 0.056), a non-significant estimate with a point estimate </w:t>
      </w:r>
      <w:r w:rsidRPr="007D7E76">
        <w:rPr>
          <w:rFonts w:ascii="Times New Roman" w:hAnsi="Times New Roman" w:cs="Times New Roman"/>
          <w:color w:val="C00000"/>
          <w:sz w:val="24"/>
          <w:szCs w:val="24"/>
        </w:rPr>
        <w:t xml:space="preserve">above </w:t>
      </w:r>
      <w:r w:rsidRPr="00176099">
        <w:rPr>
          <w:rFonts w:ascii="Times New Roman" w:hAnsi="Times New Roman" w:cs="Times New Roman"/>
          <w:color w:val="FF0000"/>
          <w:sz w:val="24"/>
          <w:szCs w:val="24"/>
        </w:rPr>
        <w:t>1.0 (</w:t>
      </w:r>
      <w:r w:rsidRPr="00976803">
        <w:rPr>
          <w:rFonts w:ascii="Times New Roman" w:hAnsi="Times New Roman" w:cs="Times New Roman"/>
          <w:b/>
          <w:bCs/>
          <w:color w:val="FF0000"/>
          <w:sz w:val="24"/>
          <w:szCs w:val="24"/>
        </w:rPr>
        <w:t>Figure 3</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Dwell time results were heterogeneous and could not be </w:t>
      </w:r>
      <w:r w:rsidRPr="00176099">
        <w:rPr>
          <w:rFonts w:ascii="Times New Roman" w:hAnsi="Times New Roman" w:cs="Times New Roman"/>
          <w:color w:val="FF0000"/>
          <w:sz w:val="24"/>
          <w:szCs w:val="24"/>
        </w:rPr>
        <w:t>pooled (I² = 91.9%) (</w:t>
      </w:r>
      <w:r w:rsidRPr="00976803">
        <w:rPr>
          <w:rFonts w:ascii="Times New Roman" w:hAnsi="Times New Roman" w:cs="Times New Roman"/>
          <w:b/>
          <w:bCs/>
          <w:color w:val="FF0000"/>
          <w:sz w:val="24"/>
          <w:szCs w:val="24"/>
        </w:rPr>
        <w:t>Figure 4</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These findings challenge the implicit assumption that the well-documented insertion benefits of USG translate into superior catheter performance after placement.</w:t>
      </w:r>
    </w:p>
    <w:p w14:paraId="13F15E2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addition of Cottrell et al. (2021) introduced substantial heterogeneity into the dwell time analysis (I² = 91.9%) (</w:t>
      </w:r>
      <w:r w:rsidRPr="00976803">
        <w:rPr>
          <w:rFonts w:ascii="Times New Roman" w:hAnsi="Times New Roman" w:cs="Times New Roman"/>
          <w:b/>
          <w:bCs/>
          <w:color w:val="FF0000"/>
          <w:sz w:val="24"/>
          <w:szCs w:val="24"/>
        </w:rPr>
        <w:t>Figure 4</w:t>
      </w:r>
      <w:r w:rsidRPr="007D7E76">
        <w:rPr>
          <w:rFonts w:ascii="Times New Roman" w:hAnsi="Times New Roman" w:cs="Times New Roman"/>
          <w:sz w:val="24"/>
          <w:szCs w:val="24"/>
        </w:rPr>
        <w:t>), preventing meta-analytic pooling. This study’s positive finding, a 36.7-hour dwell time advantage for USG, is notable because it used identical catheter types in both groups, thus controlling for the catheter length confounding present in other positive studies (</w:t>
      </w:r>
      <w:r w:rsidRPr="00976803">
        <w:rPr>
          <w:rFonts w:ascii="Times New Roman" w:hAnsi="Times New Roman" w:cs="Times New Roman"/>
          <w:b/>
          <w:bCs/>
          <w:color w:val="FF0000"/>
          <w:sz w:val="24"/>
          <w:szCs w:val="24"/>
        </w:rPr>
        <w:t>Figure 4</w:t>
      </w:r>
      <w:r w:rsidRPr="007D7E76">
        <w:rPr>
          <w:rFonts w:ascii="Times New Roman" w:hAnsi="Times New Roman" w:cs="Times New Roman"/>
          <w:sz w:val="24"/>
          <w:szCs w:val="24"/>
        </w:rPr>
        <w:t xml:space="preserve">). Cottrell et al.’s findings should be interpreted within the appropriate clinical context, as patients in the ultrasound-guided group were more frequently classified as having difficult vascular access (75% vs. 36%) [21]. Additionally, the involvement of </w:t>
      </w:r>
      <w:r w:rsidRPr="00176099">
        <w:rPr>
          <w:rFonts w:ascii="Times New Roman" w:hAnsi="Times New Roman" w:cs="Times New Roman"/>
          <w:color w:val="FF0000"/>
          <w:sz w:val="24"/>
          <w:szCs w:val="24"/>
        </w:rPr>
        <w:t>a specialized vascular</w:t>
      </w:r>
      <w:r w:rsidRPr="007D7E76">
        <w:rPr>
          <w:rFonts w:ascii="Times New Roman" w:hAnsi="Times New Roman" w:cs="Times New Roman"/>
          <w:sz w:val="24"/>
          <w:szCs w:val="24"/>
        </w:rPr>
        <w:t xml:space="preserve"> access team may have contributed to improved catheter placement outcomes through expert vessel selection, rather than reflecting the isolated effect of ultrasound guidance itself.</w:t>
      </w:r>
    </w:p>
    <w:p w14:paraId="2DB5B73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Our results must be interpreted against the broader context of USG PIVC literature. Prior systematic reviews and meta-analyses have consistently demonstrated that USG improves first-attempt success rates and reduces the number of skin punctures, particularly in DIVA populations [4, 6, 27]. These insertion benefits are clinically meaningful, as they reduce patient pain and procedural time. However, the post-insertion phase represents the majority of the catheter’s clinical lifecycle, and our findings did not detect a statistically significant post-insertion advantage for USG over landmark placement once the catheter is successfully sited (although our pre-specified analyses were not designed as a formal equivalence trial and we did not pre-define an equivalence margin). This distinction is important for clinical decision-making: USG should be valued for its ability to achieve venous access in difficult patients, but clinicians should not expect improved catheter longevity or reduced complication rates as a consequence of the guidance technique alone [7, 8].</w:t>
      </w:r>
    </w:p>
    <w:p w14:paraId="2F41A60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 critical finding of this review is the identification of catheter length and type as likely confounders in studies reporting favorable USG outcomes. Refosco et al. (2025) [24], Dachepally et al. (2023) [22], Desai et al. (2018) [14], and Paladini et al. (2018) [23] demonstrated markedly superior outcomes with USG, but in all these studies, USG catheters were substantially longer than those in the comparator group. The addition of Nishizawa et al. (2020) [15], an RCT in critically ill patients, supports the absence of meaningful post-insertion benefits even in a high-acuity DIVA population, while Desai et al. (2018) [14] once again illustrates how catheter length confounding can produce apparent dwell-time benefits that do not survive methodological scrutiny. This confounding makes it impossible to attribute the observed benefits to ultrasound guidance rather than to the greater intravascular catheter length, which has been independently associated with improved catheter survival [28, 29].</w:t>
      </w:r>
    </w:p>
    <w:p w14:paraId="048BECA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An important question arising from this observation is whether USG inherently induces the use of longer catheters. By visualizing deeper, non-palpable veins – typically the brachial, basilic, or deep forearm veins at depths of 1.0 to 2.0 cm – USG cannulation often necessitates longer catheters to ensure an adequate intravascular segment.7 When a standard 4.5 cm catheter is inserted into a vessel at 1.5 cm depth at a 45-degree angle, the resulting intravascular length may be as little as 1.5 to 2.0 cm, leaving a substantial portion of the catheter in subcutaneous tissue [29]. Pandurangadu et al. demonstrated that 100% of USG catheters failed when less than 30% of the catheter length resided within the vein [29].10 In this context, the superior outcomes observed in studies using longer catheters (4.4 cm in Dachepally et al. [22]; 8 cm in Paladini et al. [23] may reflect the physical requirement of matching catheter length to vessel depth rather than an independent benefit of ultrasound guidance per se. This distinction has profound clinical implications: the benefit may not lie in “seeing the vein” during insertion, but rather in selecting an appropriately long catheter for the depth of the target vessel. The catheter-to-vein ratio, which van Loon et al. identified as a critical determinant of cannulation success with an optimal cut-off of approximately 0.41, may be equally important for post-insertion catheter survival [6]. Future studies must therefore control for catheter specifications, including length, gauge, and material, to isolate the independent effect of the ultrasound guidance modality from the confounding effect of catheter selection.</w:t>
      </w:r>
    </w:p>
    <w:p w14:paraId="0701C744" w14:textId="77777777" w:rsidR="003C5087" w:rsidRPr="00725F8B" w:rsidRDefault="00E2355C">
      <w:pPr>
        <w:rPr>
          <w:rFonts w:ascii="Times New Roman" w:hAnsi="Times New Roman" w:cs="Times New Roman"/>
          <w:b/>
          <w:bCs/>
          <w:sz w:val="24"/>
          <w:szCs w:val="24"/>
        </w:rPr>
      </w:pPr>
      <w:r w:rsidRPr="00725F8B">
        <w:rPr>
          <w:rFonts w:ascii="Times New Roman" w:hAnsi="Times New Roman" w:cs="Times New Roman"/>
          <w:b/>
          <w:bCs/>
          <w:sz w:val="24"/>
          <w:szCs w:val="24"/>
        </w:rPr>
        <w:t>Extravasation as a Potential Safety Signal</w:t>
      </w:r>
    </w:p>
    <w:p w14:paraId="6A4628F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An exploratory extravasation signal emerges from three studies that warrants acknowledgment, while noting that the certainty of this evidence is very low (GRADE </w:t>
      </w:r>
      <w:r w:rsidRPr="007D7E76">
        <w:rPr>
          <w:rFonts w:ascii="新細明體" w:eastAsia="新細明體" w:hAnsi="新細明體" w:cs="新細明體" w:hint="eastAsia"/>
          <w:sz w:val="24"/>
          <w:szCs w:val="24"/>
        </w:rPr>
        <w:t>⊕</w:t>
      </w:r>
      <w:r w:rsidRPr="007D7E76">
        <w:rPr>
          <w:rFonts w:ascii="MS Mincho" w:eastAsia="MS Mincho" w:hAnsi="MS Mincho" w:cs="MS Mincho" w:hint="eastAsia"/>
          <w:sz w:val="24"/>
          <w:szCs w:val="24"/>
        </w:rPr>
        <w:t>◯◯◯</w:t>
      </w:r>
      <w:r w:rsidRPr="007D7E76">
        <w:rPr>
          <w:rFonts w:ascii="Times New Roman" w:hAnsi="Times New Roman" w:cs="Times New Roman"/>
          <w:sz w:val="24"/>
          <w:szCs w:val="24"/>
        </w:rPr>
        <w:t xml:space="preserve">). Bridey et al. (2018) [16] and Favot et al. (2019) [25] reported numerically higher extravasation rates with USG, though the magnitude differed dramatically (RR 1.92 vs. 19.4); Nishizawa et al. (2020) [15] reported a directionally opposite finding (13.6% vs. 28.5%). The extreme between-study heterogeneity </w:t>
      </w:r>
      <w:r w:rsidRPr="00176099">
        <w:rPr>
          <w:rFonts w:ascii="Times New Roman" w:hAnsi="Times New Roman" w:cs="Times New Roman"/>
          <w:color w:val="FF0000"/>
          <w:sz w:val="24"/>
          <w:szCs w:val="24"/>
        </w:rPr>
        <w:t>(I² = 95.7%)</w:t>
      </w:r>
      <w:r w:rsidRPr="007D7E76">
        <w:rPr>
          <w:rFonts w:ascii="Times New Roman" w:hAnsi="Times New Roman" w:cs="Times New Roman"/>
          <w:sz w:val="24"/>
          <w:szCs w:val="24"/>
        </w:rPr>
        <w:t xml:space="preserve"> precluded meta-analytic pooling, and the directional inconsistency together with heterogeneity of outcome definitions means the extravasation data are best interpreted as hypothesis-generating, requiring confirmation in adequately powered prospective studies before clinical inferences can be drawn.</w:t>
      </w:r>
    </w:p>
    <w:p w14:paraId="209E341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underlying biomechanics offer a plausible explanation. USG enables cannulation of deeper, non-palpable veins, typically at depths of 1.0 to 2.0 cm below the skin surface [7]. When standard-length catheters (4.5 cm) are used at these depths, the angle of insertion required to reach the vessel results in a shorter intravascular catheter segment. Fields et al. demonstrated that vessel depth is inversely associated with USG catheter longevity, with deeper insertions at greater risk of failure [7]. The short intravascular segment is susceptible to catheter tip migration with patient movement, particularly at flexion points such as the antecubital fossa. When the catheter tip migrates outside the vessel lumen, any infusate, but especially high-pressure contrast injections, can extravasate into the perivascular tissue.</w:t>
      </w:r>
    </w:p>
    <w:p w14:paraId="7042391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dramatically elevated Favot et al [25]. RR (19.4) for contrast extravasation likely reflects standard-length catheter vulnerability compounded by high-pressure injection during CT contrast administration; Bridey et al [16]. observed a more modest but still concerning trend (34% vs 18%, p = 0.094) in an ICU setting where USG catheters were also larger gauge (18G vs 21G, p = 0.059), which may have contributed independently to vessel wall trauma.</w:t>
      </w:r>
    </w:p>
    <w:p w14:paraId="379416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If this directionally inconsistent extravasation pattern is confirmed in adequately powered prospective studies, clinical practice may need to consider using appropriately longer catheters (e.g., 4.78 cm or longer) when USG is used to access deep veins, and particular caution may be warranted before using USG-placed standard-length PIVCs for high-pressure contrast injection. We frame this only as a hypothesis for prospective evaluation; the current evidence is too inconsistent to support a confirmed safety signal.</w:t>
      </w:r>
    </w:p>
    <w:p w14:paraId="473681B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The subgroup analysis by age group generated a hypothesis worth noting in the context of future research. Among adult studies (k = 3), the pooled RR was 1.28 (95% CI 1.02–1.60; p = 0.03) (</w:t>
      </w:r>
      <w:r w:rsidRPr="00976803">
        <w:rPr>
          <w:rFonts w:ascii="Times New Roman" w:hAnsi="Times New Roman" w:cs="Times New Roman"/>
          <w:b/>
          <w:bCs/>
          <w:color w:val="FF0000"/>
          <w:sz w:val="24"/>
          <w:szCs w:val="24"/>
        </w:rPr>
        <w:t>Figure 6</w:t>
      </w:r>
      <w:r w:rsidRPr="007D7E76">
        <w:rPr>
          <w:rFonts w:ascii="Times New Roman" w:hAnsi="Times New Roman" w:cs="Times New Roman"/>
          <w:sz w:val="24"/>
          <w:szCs w:val="24"/>
        </w:rPr>
        <w:t>), with the point estimate trending unfavorably for USG. A biomechanically plausible explanation exists: USG targets deeper veins that may be more prone to catheter tip migration with standard-length catheters. In contrast, the single pediatric study (Kleidon et al., 2025) [</w:t>
      </w:r>
      <w:r w:rsidRPr="007D7E76">
        <w:rPr>
          <w:rFonts w:ascii="Times New Roman" w:hAnsi="Times New Roman" w:cs="Times New Roman"/>
          <w:color w:val="C00000"/>
          <w:sz w:val="24"/>
          <w:szCs w:val="24"/>
        </w:rPr>
        <w:t>12</w:t>
      </w:r>
      <w:r w:rsidRPr="007D7E76">
        <w:rPr>
          <w:rFonts w:ascii="Times New Roman" w:hAnsi="Times New Roman" w:cs="Times New Roman"/>
          <w:sz w:val="24"/>
          <w:szCs w:val="24"/>
        </w:rPr>
        <w:t>] showed no difference (RR 0.95). However, the subgroup interaction test was not significant (p = 0.32), the adult subgroup includes a conference abstract (Saltarelli et al., 2015) [26] with limited methodological detail, and overall GRADE certainty is low. This result should therefore be characterized as an exploratory signal requiring confirmation in adequately powered prospective studies, rather than as evidence of harm.</w:t>
      </w:r>
    </w:p>
    <w:p w14:paraId="111A99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As reported above (Results, Catheter Failure), the post-hoc design-stratified analysis showed that the borderline overall failure signal arose from the cohort studies (RR 1.29, 95% CI 1.02–1.63) while the RCT-only estimate was flat (RR 1.03, 95% CI 0.66–1.61). The </w:t>
      </w:r>
      <w:r w:rsidRPr="00176099">
        <w:rPr>
          <w:rFonts w:ascii="Times New Roman" w:hAnsi="Times New Roman" w:cs="Times New Roman"/>
          <w:color w:val="FF0000"/>
          <w:sz w:val="24"/>
          <w:szCs w:val="24"/>
        </w:rPr>
        <w:t>Feinsmith et al. (2023)</w:t>
      </w:r>
      <w:r w:rsidRPr="007D7E76">
        <w:rPr>
          <w:rFonts w:ascii="Times New Roman" w:hAnsi="Times New Roman" w:cs="Times New Roman"/>
          <w:sz w:val="24"/>
          <w:szCs w:val="24"/>
        </w:rPr>
        <w:t xml:space="preserve"> study [19], while the largest cohort by sample size, is inherently subject to selection bias: patients who receive USG PIVCs are those who have already failed landmark attempts, representing a population with intrinsically more difficult venous access and potentially different catheter outcomes, illustrating one source of the divergence between cohort-driven and RCT-driven estimates.</w:t>
      </w:r>
    </w:p>
    <w:p w14:paraId="447520C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Study Limitations</w:t>
      </w:r>
    </w:p>
    <w:p w14:paraId="5C787D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This review has several important limitations:</w:t>
      </w:r>
    </w:p>
    <w:p w14:paraId="157D96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 The evidence base is small and heterogeneous, comprising only </w:t>
      </w:r>
      <w:r w:rsidRPr="007D7E76">
        <w:rPr>
          <w:rFonts w:ascii="Times New Roman" w:hAnsi="Times New Roman" w:cs="Times New Roman"/>
          <w:color w:val="C00000"/>
          <w:sz w:val="24"/>
          <w:szCs w:val="24"/>
        </w:rPr>
        <w:t>six</w:t>
      </w:r>
      <w:r w:rsidRPr="007D7E76">
        <w:rPr>
          <w:rFonts w:ascii="Times New Roman" w:hAnsi="Times New Roman" w:cs="Times New Roman"/>
          <w:sz w:val="24"/>
          <w:szCs w:val="24"/>
        </w:rPr>
        <w:t xml:space="preserve"> RCTs and nine cohort studies with varied populations, settings, outcome definitions, and follow-up durations.</w:t>
      </w:r>
    </w:p>
    <w:p w14:paraId="0E03A59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2. Inter-rater agreement for title/abstract screening was fair (Cohen’s kappa = 0.330; percent agreement 95.8%), reflecting the κ paradox under high </w:t>
      </w:r>
      <w:r w:rsidRPr="00176099">
        <w:rPr>
          <w:rFonts w:ascii="Times New Roman" w:hAnsi="Times New Roman" w:cs="Times New Roman"/>
          <w:color w:val="FF0000"/>
          <w:sz w:val="24"/>
          <w:szCs w:val="24"/>
        </w:rPr>
        <w:t>exclusion prevalence [</w:t>
      </w:r>
      <w:r w:rsidRPr="00E50A11">
        <w:rPr>
          <w:rFonts w:ascii="Times New Roman" w:hAnsi="Times New Roman" w:cs="Times New Roman"/>
          <w:color w:val="FF0000"/>
          <w:sz w:val="24"/>
          <w:szCs w:val="24"/>
          <w:highlight w:val="yellow"/>
        </w:rPr>
        <w:t>33</w:t>
      </w:r>
      <w:r w:rsidRPr="00176099">
        <w:rPr>
          <w:rFonts w:ascii="Times New Roman" w:hAnsi="Times New Roman" w:cs="Times New Roman"/>
          <w:color w:val="FF0000"/>
          <w:sz w:val="24"/>
          <w:szCs w:val="24"/>
        </w:rPr>
        <w:t>]</w:t>
      </w:r>
      <w:r w:rsidRPr="007D7E76">
        <w:rPr>
          <w:rFonts w:ascii="Times New Roman" w:hAnsi="Times New Roman" w:cs="Times New Roman"/>
          <w:color w:val="C00000"/>
          <w:sz w:val="24"/>
          <w:szCs w:val="24"/>
        </w:rPr>
        <w:t xml:space="preserve"> </w:t>
      </w:r>
      <w:r w:rsidRPr="00176099">
        <w:rPr>
          <w:rFonts w:ascii="Times New Roman" w:hAnsi="Times New Roman" w:cs="Times New Roman"/>
          <w:color w:val="FF0000"/>
          <w:sz w:val="24"/>
          <w:szCs w:val="24"/>
        </w:rPr>
        <w:t>rather than</w:t>
      </w:r>
      <w:r w:rsidRPr="007D7E76">
        <w:rPr>
          <w:rFonts w:ascii="Times New Roman" w:hAnsi="Times New Roman" w:cs="Times New Roman"/>
          <w:sz w:val="24"/>
          <w:szCs w:val="24"/>
        </w:rPr>
        <w:t xml:space="preserve"> substantive disagreement. The 57 single-reviewer-include records were adjudicated by the primary reviewer in a pre-specified second-pass review against the PROSPERO PICO, with documented categorical exclusion reasons. Selection-bias risk was mitigated by cross-referencing against three prior USG-PIVC </w:t>
      </w:r>
      <w:r w:rsidRPr="00176099">
        <w:rPr>
          <w:rFonts w:ascii="Times New Roman" w:hAnsi="Times New Roman" w:cs="Times New Roman"/>
          <w:color w:val="FF0000"/>
          <w:sz w:val="24"/>
          <w:szCs w:val="24"/>
        </w:rPr>
        <w:t>systematic reviews [4</w:t>
      </w:r>
      <w:r w:rsidRPr="007D7E76">
        <w:rPr>
          <w:rFonts w:ascii="Times New Roman" w:hAnsi="Times New Roman" w:cs="Times New Roman"/>
          <w:color w:val="C00000"/>
          <w:sz w:val="24"/>
          <w:szCs w:val="24"/>
        </w:rPr>
        <w:t xml:space="preserve">, </w:t>
      </w:r>
      <w:r w:rsidRPr="00176099">
        <w:rPr>
          <w:rFonts w:ascii="Times New Roman" w:hAnsi="Times New Roman" w:cs="Times New Roman"/>
          <w:color w:val="FF0000"/>
          <w:sz w:val="24"/>
          <w:szCs w:val="24"/>
        </w:rPr>
        <w:t xml:space="preserve">6, 27] </w:t>
      </w:r>
      <w:r w:rsidRPr="00176099">
        <w:rPr>
          <w:rFonts w:ascii="Times New Roman" w:hAnsi="Times New Roman" w:cs="Times New Roman"/>
          <w:color w:val="000000" w:themeColor="text1"/>
          <w:sz w:val="24"/>
          <w:szCs w:val="24"/>
        </w:rPr>
        <w:t>(</w:t>
      </w:r>
      <w:r w:rsidRPr="00176099">
        <w:rPr>
          <w:rFonts w:ascii="Times New Roman" w:hAnsi="Times New Roman" w:cs="Times New Roman"/>
          <w:color w:val="FF0000"/>
          <w:sz w:val="24"/>
          <w:szCs w:val="24"/>
        </w:rPr>
        <w:t>no eligible</w:t>
      </w:r>
      <w:r w:rsidRPr="007D7E76">
        <w:rPr>
          <w:rFonts w:ascii="Times New Roman" w:hAnsi="Times New Roman" w:cs="Times New Roman"/>
          <w:sz w:val="24"/>
          <w:szCs w:val="24"/>
        </w:rPr>
        <w:t xml:space="preserve"> studies missed) and an audit trail of all second-pass decisions.</w:t>
      </w:r>
    </w:p>
    <w:p w14:paraId="3CF43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 Four studies had major confounding by catheter type or selection, necessitating their exclusion from pooled analyses.</w:t>
      </w:r>
    </w:p>
    <w:p w14:paraId="7F62BE9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4. Saltarelli et al. (2015) [26] was available only as a conference abstract with limited methodological detail.</w:t>
      </w:r>
    </w:p>
    <w:p w14:paraId="0A3677D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 Varghese et al. (2025) [17] employed only a two-hour follow-up, which is insufficient to capture most post-insertion complications.</w:t>
      </w:r>
    </w:p>
    <w:p w14:paraId="66A0CDA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 Leroux et al. (2023) was substantially underpowered due to COVID-19-related recruitment challenges.</w:t>
      </w:r>
    </w:p>
    <w:p w14:paraId="41FF136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 Formal assessment of publication bias was not possible because fewer than 10 studies contributed to any single meta-analysis.</w:t>
      </w:r>
    </w:p>
    <w:p w14:paraId="7198410A"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8. The search covered four databases (PubMed, Embase, Cochrane CENTRAL, CINAHL) but did not include Scopus or Web of Science; although three prior systematic reviews were cross-referenced and the reference lists of included studies were hand-searched without identifying additional eligible records, studies uniquely indexed in those databases may have been missed.</w:t>
      </w:r>
    </w:p>
    <w:p w14:paraId="790408A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9. In the newly included Avelar trial, post-insertion complications in the ultrasound arm were ascertained with ultrasound visualization while the landmark arm was assessed clinically, a differential ascertainment that may inflate the infiltration signal.</w:t>
      </w:r>
    </w:p>
    <w:p w14:paraId="2ACDD25B" w14:textId="18FFAC64"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10. The overall certainty of evidence as assessed by the GRADE framework ranged from low to very low across all outcomes </w:t>
      </w:r>
      <w:r w:rsidRPr="00176099">
        <w:rPr>
          <w:rFonts w:ascii="Times New Roman" w:hAnsi="Times New Roman" w:cs="Times New Roman"/>
          <w:color w:val="FF0000"/>
          <w:sz w:val="24"/>
          <w:szCs w:val="24"/>
        </w:rPr>
        <w:t>(</w:t>
      </w:r>
      <w:r w:rsidRPr="00976803">
        <w:rPr>
          <w:rFonts w:ascii="Times New Roman" w:hAnsi="Times New Roman" w:cs="Times New Roman"/>
          <w:b/>
          <w:bCs/>
          <w:color w:val="FF0000"/>
          <w:sz w:val="24"/>
          <w:szCs w:val="24"/>
        </w:rPr>
        <w:t xml:space="preserve">Table </w:t>
      </w:r>
      <w:r w:rsidR="00976803">
        <w:rPr>
          <w:rFonts w:ascii="Times New Roman" w:hAnsi="Times New Roman" w:cs="Times New Roman"/>
          <w:b/>
          <w:bCs/>
          <w:color w:val="FF0000"/>
          <w:sz w:val="24"/>
          <w:szCs w:val="24"/>
        </w:rPr>
        <w:t>3</w:t>
      </w:r>
      <w:r w:rsidRPr="00176099">
        <w:rPr>
          <w:rFonts w:ascii="Times New Roman" w:hAnsi="Times New Roman" w:cs="Times New Roman"/>
          <w:color w:val="FF0000"/>
          <w:sz w:val="24"/>
          <w:szCs w:val="24"/>
        </w:rPr>
        <w:t>)</w:t>
      </w:r>
      <w:r w:rsidRPr="007D7E76">
        <w:rPr>
          <w:rFonts w:ascii="Times New Roman" w:hAnsi="Times New Roman" w:cs="Times New Roman"/>
          <w:color w:val="C00000"/>
          <w:sz w:val="24"/>
          <w:szCs w:val="24"/>
        </w:rPr>
        <w:t xml:space="preserve"> </w:t>
      </w:r>
      <w:r w:rsidRPr="007D7E76">
        <w:rPr>
          <w:rFonts w:ascii="Times New Roman" w:hAnsi="Times New Roman" w:cs="Times New Roman"/>
          <w:sz w:val="24"/>
          <w:szCs w:val="24"/>
        </w:rPr>
        <w:t>[30], reflecting the predominance of observational studies, serious imprecision, and the limitations of the available RCTs.</w:t>
      </w:r>
    </w:p>
    <w:p w14:paraId="350BAA20"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Clinical Implications</w:t>
      </w:r>
    </w:p>
    <w:p w14:paraId="1B8A68E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Clinicians should continue to value USG as a highly useful insertion aid, particularly in patients with difficult intravenous access. However, current evidence does not justify assuming that USG alone improves catheter longevity or reduces post-insertion complications. If post-insertion performance is a clinical priority, attention should focus on catheter selection, including length, gauge, material, and the depth of the target vein, rather than on guidance modality alone. </w:t>
      </w:r>
    </w:p>
    <w:p w14:paraId="27E6AF7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Overall, the current literature more strongly supports the insertion-phase advantage of USG than any consistent post-insertion advantage. The most plausible interpretation of the available evidence is that post-insertion outcomes are shaped at least as much by catheter specification and study context as by ultrasound guidance itself. Future adequately powered trials that standardize catheter type across groups are needed before the independent post-insertion effect of USG can be determined.</w:t>
      </w:r>
    </w:p>
    <w:p w14:paraId="57E5803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Conclusion</w:t>
      </w:r>
    </w:p>
    <w:p w14:paraId="1A752CC8" w14:textId="598E5AED" w:rsidR="003C5087" w:rsidRDefault="00E2355C">
      <w:pPr>
        <w:rPr>
          <w:rFonts w:ascii="Times New Roman" w:hAnsi="Times New Roman" w:cs="Times New Roman"/>
          <w:sz w:val="24"/>
          <w:szCs w:val="24"/>
        </w:rPr>
      </w:pPr>
      <w:r w:rsidRPr="007D7E76">
        <w:rPr>
          <w:rFonts w:ascii="Times New Roman" w:hAnsi="Times New Roman" w:cs="Times New Roman"/>
          <w:sz w:val="24"/>
          <w:szCs w:val="24"/>
        </w:rPr>
        <w:t xml:space="preserve">This systematic review and meta-analysis of 15 studies did not demonstrate a consistent post-insertion advantage of ultrasound-guided over landmark-guided PIVC placement across catheter failure, dwell time, infiltration, or extravasation; the current evidence base is too small and heterogeneous to support either firm benefit or firm equivalence claims, and a clinically meaningful effect in either direction cannot be excluded. The pooled catheter failure rate was not significantly different between groups (RR 1.23, 95% CI 1.00–1.51; p = 0.056). Dwell time results were heterogeneous (I² = 91.9%) and could not be pooled, with one study showing significant benefit and two showing no difference. In adult patients specifically, the pooled RR for catheter failure trended unfavorably for USG (RR 1.28, 95% CI 1.02–1.60; p = 0.03), though the subgroup interaction test was non-significant (p = 0.32) and this result is best considered hypothesis-generating given the small number of studies and low certainty of evidence. </w:t>
      </w:r>
      <w:r w:rsidRPr="00176099">
        <w:rPr>
          <w:rFonts w:ascii="Times New Roman" w:hAnsi="Times New Roman" w:cs="Times New Roman"/>
          <w:color w:val="FF0000"/>
          <w:sz w:val="24"/>
          <w:szCs w:val="24"/>
        </w:rPr>
        <w:t>This adult subgroup is moreover dominated by a single conference abstract (Saltarelli et al., ~50% of the pooled weight), and the leave-one-out analysis showed that removing that study rendered the overall catheter-failure estimate non-significant (RR 1.18, 95% CI 0.88–1.58); the adult signal should therefore not be over-interpreted.</w:t>
      </w:r>
      <w:r w:rsidRPr="007D7E76">
        <w:rPr>
          <w:rFonts w:ascii="Times New Roman" w:hAnsi="Times New Roman" w:cs="Times New Roman"/>
          <w:sz w:val="24"/>
          <w:szCs w:val="24"/>
        </w:rPr>
        <w:t xml:space="preserve"> Extravasation data from two studies (Bridey et al., Favot et al.) were directionally consistent in suggesting a potential signal associated with USG-placed PIVCs, though this was not confirmed by a third study (Nishizawa et al.) and certainty is very low; prospective studies are needed before clinical conclusions can be drawn. Studies reporting strongly favorable USG results were confounded by systematic differences in catheter length and type, highlighting that catheter selection, not the guidance modality, may be the primary determinant of post-insertion catheter performance.</w:t>
      </w:r>
      <w:r w:rsidRPr="00176099">
        <w:rPr>
          <w:rFonts w:ascii="Times New Roman" w:hAnsi="Times New Roman" w:cs="Times New Roman"/>
          <w:color w:val="FF0000"/>
          <w:sz w:val="24"/>
          <w:szCs w:val="24"/>
        </w:rPr>
        <w:t xml:space="preserve"> This interpretation, and the overall finding of no consistent post-insertion benefit, is conditional on our classification of four catheter-specification-confounded studies and their exclusion from the primary pooled analyses. </w:t>
      </w:r>
      <w:r w:rsidRPr="007D7E76">
        <w:rPr>
          <w:rFonts w:ascii="Times New Roman" w:hAnsi="Times New Roman" w:cs="Times New Roman"/>
          <w:sz w:val="24"/>
          <w:szCs w:val="24"/>
        </w:rPr>
        <w:t xml:space="preserve">The current evidence more strongly supports the insertion-phase advantage of USG (well established in </w:t>
      </w:r>
      <w:r w:rsidRPr="00176099">
        <w:rPr>
          <w:rFonts w:ascii="Times New Roman" w:hAnsi="Times New Roman" w:cs="Times New Roman"/>
          <w:color w:val="FF0000"/>
          <w:sz w:val="24"/>
          <w:szCs w:val="24"/>
        </w:rPr>
        <w:t xml:space="preserve">prior systematic reviews [6, 27, </w:t>
      </w:r>
      <w:r w:rsidRPr="00E50A11">
        <w:rPr>
          <w:rFonts w:ascii="Times New Roman" w:hAnsi="Times New Roman" w:cs="Times New Roman"/>
          <w:color w:val="FF0000"/>
          <w:sz w:val="24"/>
          <w:szCs w:val="24"/>
          <w:highlight w:val="yellow"/>
        </w:rPr>
        <w:t>34</w:t>
      </w:r>
      <w:r w:rsidRPr="00176099">
        <w:rPr>
          <w:rFonts w:ascii="Times New Roman" w:hAnsi="Times New Roman" w:cs="Times New Roman"/>
          <w:color w:val="FF0000"/>
          <w:sz w:val="24"/>
          <w:szCs w:val="24"/>
        </w:rPr>
        <w:t>])</w:t>
      </w:r>
      <w:r w:rsidRPr="007D7E76">
        <w:rPr>
          <w:rFonts w:ascii="Times New Roman" w:hAnsi="Times New Roman" w:cs="Times New Roman"/>
          <w:sz w:val="24"/>
          <w:szCs w:val="24"/>
        </w:rPr>
        <w:t xml:space="preserve"> than any consistent post-insertion advantage. Future adequately powered RCTs that control for catheter length, gauge, and material are essential to provide definitive evidence.</w:t>
      </w:r>
    </w:p>
    <w:p w14:paraId="4543290A" w14:textId="3C8A3089" w:rsidR="00725F8B" w:rsidRDefault="00725F8B">
      <w:pPr>
        <w:rPr>
          <w:rFonts w:ascii="Times New Roman" w:hAnsi="Times New Roman" w:cs="Times New Roman"/>
          <w:sz w:val="24"/>
          <w:szCs w:val="24"/>
        </w:rPr>
      </w:pPr>
    </w:p>
    <w:p w14:paraId="1C74D1B0" w14:textId="489CFF37" w:rsidR="00725F8B" w:rsidRDefault="00725F8B">
      <w:pPr>
        <w:rPr>
          <w:rFonts w:ascii="Times New Roman" w:hAnsi="Times New Roman" w:cs="Times New Roman"/>
          <w:sz w:val="24"/>
          <w:szCs w:val="24"/>
        </w:rPr>
      </w:pPr>
    </w:p>
    <w:p w14:paraId="49F7B640" w14:textId="3F1783DA" w:rsidR="00725F8B" w:rsidRDefault="00725F8B">
      <w:pPr>
        <w:rPr>
          <w:rFonts w:ascii="Times New Roman" w:hAnsi="Times New Roman" w:cs="Times New Roman"/>
          <w:sz w:val="24"/>
          <w:szCs w:val="24"/>
        </w:rPr>
      </w:pPr>
    </w:p>
    <w:p w14:paraId="042A0A6E" w14:textId="5BDED555" w:rsidR="00725F8B" w:rsidRDefault="00725F8B">
      <w:pPr>
        <w:rPr>
          <w:rFonts w:ascii="Times New Roman" w:hAnsi="Times New Roman" w:cs="Times New Roman"/>
          <w:sz w:val="24"/>
          <w:szCs w:val="24"/>
        </w:rPr>
      </w:pPr>
    </w:p>
    <w:p w14:paraId="0EAB00A3" w14:textId="51443020" w:rsidR="00725F8B" w:rsidRDefault="00725F8B">
      <w:pPr>
        <w:rPr>
          <w:rFonts w:ascii="Times New Roman" w:hAnsi="Times New Roman" w:cs="Times New Roman"/>
          <w:sz w:val="24"/>
          <w:szCs w:val="24"/>
        </w:rPr>
      </w:pPr>
    </w:p>
    <w:p w14:paraId="3FF71D55" w14:textId="062D1A54" w:rsidR="00725F8B" w:rsidRDefault="00725F8B">
      <w:pPr>
        <w:rPr>
          <w:rFonts w:ascii="Times New Roman" w:hAnsi="Times New Roman" w:cs="Times New Roman"/>
          <w:sz w:val="24"/>
          <w:szCs w:val="24"/>
        </w:rPr>
      </w:pPr>
    </w:p>
    <w:p w14:paraId="0B57B0D5" w14:textId="3E278437" w:rsidR="00725F8B" w:rsidRDefault="00725F8B">
      <w:pPr>
        <w:rPr>
          <w:rFonts w:ascii="Times New Roman" w:hAnsi="Times New Roman" w:cs="Times New Roman"/>
          <w:sz w:val="24"/>
          <w:szCs w:val="24"/>
        </w:rPr>
      </w:pPr>
    </w:p>
    <w:p w14:paraId="0D080B99" w14:textId="08B1A95A" w:rsidR="00725F8B" w:rsidRDefault="00725F8B">
      <w:pPr>
        <w:rPr>
          <w:rFonts w:ascii="Times New Roman" w:hAnsi="Times New Roman" w:cs="Times New Roman"/>
          <w:sz w:val="24"/>
          <w:szCs w:val="24"/>
        </w:rPr>
      </w:pPr>
    </w:p>
    <w:p w14:paraId="22BAA116" w14:textId="6CC29617" w:rsidR="00725F8B" w:rsidRDefault="00725F8B">
      <w:pPr>
        <w:rPr>
          <w:rFonts w:ascii="Times New Roman" w:hAnsi="Times New Roman" w:cs="Times New Roman"/>
          <w:sz w:val="24"/>
          <w:szCs w:val="24"/>
        </w:rPr>
      </w:pPr>
    </w:p>
    <w:p w14:paraId="0004ED0A" w14:textId="580655B3" w:rsidR="00725F8B" w:rsidRDefault="00725F8B">
      <w:pPr>
        <w:rPr>
          <w:rFonts w:ascii="Times New Roman" w:hAnsi="Times New Roman" w:cs="Times New Roman"/>
          <w:sz w:val="24"/>
          <w:szCs w:val="24"/>
        </w:rPr>
      </w:pPr>
    </w:p>
    <w:p w14:paraId="06128F4C" w14:textId="110FFABA" w:rsidR="00725F8B" w:rsidRDefault="00725F8B">
      <w:pPr>
        <w:rPr>
          <w:rFonts w:ascii="Times New Roman" w:hAnsi="Times New Roman" w:cs="Times New Roman"/>
          <w:sz w:val="24"/>
          <w:szCs w:val="24"/>
        </w:rPr>
      </w:pPr>
    </w:p>
    <w:p w14:paraId="2D127A2D" w14:textId="38E5EA90" w:rsidR="00725F8B" w:rsidRDefault="00725F8B">
      <w:pPr>
        <w:rPr>
          <w:rFonts w:ascii="Times New Roman" w:hAnsi="Times New Roman" w:cs="Times New Roman"/>
          <w:sz w:val="24"/>
          <w:szCs w:val="24"/>
        </w:rPr>
      </w:pPr>
    </w:p>
    <w:p w14:paraId="67646476" w14:textId="116EEE05" w:rsidR="00725F8B" w:rsidRDefault="00725F8B">
      <w:pPr>
        <w:rPr>
          <w:rFonts w:ascii="Times New Roman" w:hAnsi="Times New Roman" w:cs="Times New Roman"/>
          <w:sz w:val="24"/>
          <w:szCs w:val="24"/>
        </w:rPr>
      </w:pPr>
    </w:p>
    <w:p w14:paraId="67ADDF8D" w14:textId="146604BC" w:rsidR="00725F8B" w:rsidRDefault="00725F8B">
      <w:pPr>
        <w:rPr>
          <w:rFonts w:ascii="Times New Roman" w:hAnsi="Times New Roman" w:cs="Times New Roman"/>
          <w:sz w:val="24"/>
          <w:szCs w:val="24"/>
        </w:rPr>
      </w:pPr>
    </w:p>
    <w:p w14:paraId="28D051FA" w14:textId="5AE5A7B4" w:rsidR="00725F8B" w:rsidRDefault="00725F8B">
      <w:pPr>
        <w:rPr>
          <w:rFonts w:ascii="Times New Roman" w:hAnsi="Times New Roman" w:cs="Times New Roman"/>
          <w:sz w:val="24"/>
          <w:szCs w:val="24"/>
        </w:rPr>
      </w:pPr>
    </w:p>
    <w:p w14:paraId="375F93F6" w14:textId="68BC0999" w:rsidR="00725F8B" w:rsidRDefault="00725F8B">
      <w:pPr>
        <w:rPr>
          <w:rFonts w:ascii="Times New Roman" w:hAnsi="Times New Roman" w:cs="Times New Roman"/>
          <w:sz w:val="24"/>
          <w:szCs w:val="24"/>
        </w:rPr>
      </w:pPr>
    </w:p>
    <w:p w14:paraId="302812E0" w14:textId="77777777" w:rsidR="00725F8B" w:rsidRPr="007D7E76" w:rsidRDefault="00725F8B">
      <w:pPr>
        <w:rPr>
          <w:rFonts w:ascii="Times New Roman" w:hAnsi="Times New Roman" w:cs="Times New Roman"/>
          <w:sz w:val="24"/>
          <w:szCs w:val="24"/>
        </w:rPr>
      </w:pPr>
    </w:p>
    <w:p w14:paraId="1C43A3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PROSPERO Registration</w:t>
      </w:r>
      <w:r w:rsidRPr="007D7E76">
        <w:rPr>
          <w:rFonts w:ascii="Times New Roman" w:hAnsi="Times New Roman" w:cs="Times New Roman"/>
          <w:sz w:val="24"/>
          <w:szCs w:val="24"/>
        </w:rPr>
        <w:t>: CRD420261354170</w:t>
      </w:r>
    </w:p>
    <w:p w14:paraId="69F2196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Funding: None.</w:t>
      </w:r>
    </w:p>
    <w:p w14:paraId="07C515C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b/>
          <w:bCs/>
          <w:sz w:val="24"/>
          <w:szCs w:val="24"/>
        </w:rPr>
        <w:t>Conflicts of interest</w:t>
      </w:r>
      <w:r w:rsidRPr="007D7E76">
        <w:rPr>
          <w:rFonts w:ascii="Times New Roman" w:hAnsi="Times New Roman" w:cs="Times New Roman"/>
          <w:sz w:val="24"/>
          <w:szCs w:val="24"/>
        </w:rPr>
        <w:t>: None declared.</w:t>
      </w:r>
    </w:p>
    <w:p w14:paraId="2EE238B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Use of Artificial Intelligence: AI assistants (ChatGPT, Gemini) were used for language editing and to cross-check statistical reasoning during manuscript preparation. AI was not used to generate primary scientific content, draft conclusions, or interpret clinical findings. All authors reviewed and verified all content and take full responsibility for accuracy and integrity. No AI tool is listed as an author. A detailed AI use disclosure (ICMJE 2024 compliant) is provided in the cover letter.</w:t>
      </w:r>
    </w:p>
    <w:p w14:paraId="30DEF8CD" w14:textId="77777777" w:rsidR="00725F8B" w:rsidRDefault="00725F8B">
      <w:pPr>
        <w:rPr>
          <w:rFonts w:ascii="Times New Roman" w:hAnsi="Times New Roman" w:cs="Times New Roman"/>
          <w:b/>
          <w:sz w:val="24"/>
          <w:szCs w:val="24"/>
        </w:rPr>
      </w:pPr>
    </w:p>
    <w:p w14:paraId="745A40E6" w14:textId="77777777" w:rsidR="00725F8B" w:rsidRDefault="00725F8B">
      <w:pPr>
        <w:rPr>
          <w:rFonts w:ascii="Times New Roman" w:hAnsi="Times New Roman" w:cs="Times New Roman"/>
          <w:b/>
          <w:sz w:val="24"/>
          <w:szCs w:val="24"/>
        </w:rPr>
      </w:pPr>
    </w:p>
    <w:p w14:paraId="3FD5C5C3" w14:textId="77777777" w:rsidR="00725F8B" w:rsidRDefault="00725F8B">
      <w:pPr>
        <w:rPr>
          <w:rFonts w:ascii="Times New Roman" w:hAnsi="Times New Roman" w:cs="Times New Roman"/>
          <w:b/>
          <w:sz w:val="24"/>
          <w:szCs w:val="24"/>
        </w:rPr>
      </w:pPr>
    </w:p>
    <w:p w14:paraId="256F6FDB" w14:textId="77777777" w:rsidR="00725F8B" w:rsidRDefault="00725F8B">
      <w:pPr>
        <w:rPr>
          <w:rFonts w:ascii="Times New Roman" w:hAnsi="Times New Roman" w:cs="Times New Roman"/>
          <w:b/>
          <w:sz w:val="24"/>
          <w:szCs w:val="24"/>
        </w:rPr>
      </w:pPr>
    </w:p>
    <w:p w14:paraId="3C8380DB" w14:textId="77777777" w:rsidR="00725F8B" w:rsidRDefault="00725F8B">
      <w:pPr>
        <w:rPr>
          <w:rFonts w:ascii="Times New Roman" w:hAnsi="Times New Roman" w:cs="Times New Roman"/>
          <w:b/>
          <w:sz w:val="24"/>
          <w:szCs w:val="24"/>
        </w:rPr>
      </w:pPr>
    </w:p>
    <w:p w14:paraId="5B619363" w14:textId="77777777" w:rsidR="00725F8B" w:rsidRDefault="00725F8B">
      <w:pPr>
        <w:rPr>
          <w:rFonts w:ascii="Times New Roman" w:hAnsi="Times New Roman" w:cs="Times New Roman"/>
          <w:b/>
          <w:sz w:val="24"/>
          <w:szCs w:val="24"/>
        </w:rPr>
      </w:pPr>
    </w:p>
    <w:p w14:paraId="0A821E88" w14:textId="77777777" w:rsidR="00725F8B" w:rsidRDefault="00725F8B">
      <w:pPr>
        <w:rPr>
          <w:rFonts w:ascii="Times New Roman" w:hAnsi="Times New Roman" w:cs="Times New Roman"/>
          <w:b/>
          <w:sz w:val="24"/>
          <w:szCs w:val="24"/>
        </w:rPr>
      </w:pPr>
    </w:p>
    <w:p w14:paraId="1240D8DA" w14:textId="77777777" w:rsidR="00725F8B" w:rsidRDefault="00725F8B">
      <w:pPr>
        <w:rPr>
          <w:rFonts w:ascii="Times New Roman" w:hAnsi="Times New Roman" w:cs="Times New Roman"/>
          <w:b/>
          <w:sz w:val="24"/>
          <w:szCs w:val="24"/>
        </w:rPr>
      </w:pPr>
    </w:p>
    <w:p w14:paraId="16475002" w14:textId="77777777" w:rsidR="00725F8B" w:rsidRDefault="00725F8B">
      <w:pPr>
        <w:rPr>
          <w:rFonts w:ascii="Times New Roman" w:hAnsi="Times New Roman" w:cs="Times New Roman"/>
          <w:b/>
          <w:sz w:val="24"/>
          <w:szCs w:val="24"/>
        </w:rPr>
      </w:pPr>
    </w:p>
    <w:p w14:paraId="329338C7" w14:textId="77777777" w:rsidR="00725F8B" w:rsidRDefault="00725F8B">
      <w:pPr>
        <w:rPr>
          <w:rFonts w:ascii="Times New Roman" w:hAnsi="Times New Roman" w:cs="Times New Roman"/>
          <w:b/>
          <w:sz w:val="24"/>
          <w:szCs w:val="24"/>
        </w:rPr>
      </w:pPr>
    </w:p>
    <w:p w14:paraId="7A771BA3" w14:textId="77777777" w:rsidR="00725F8B" w:rsidRDefault="00725F8B">
      <w:pPr>
        <w:rPr>
          <w:rFonts w:ascii="Times New Roman" w:hAnsi="Times New Roman" w:cs="Times New Roman"/>
          <w:b/>
          <w:sz w:val="24"/>
          <w:szCs w:val="24"/>
        </w:rPr>
      </w:pPr>
    </w:p>
    <w:p w14:paraId="3EF821D5" w14:textId="77777777" w:rsidR="00725F8B" w:rsidRDefault="00725F8B">
      <w:pPr>
        <w:rPr>
          <w:rFonts w:ascii="Times New Roman" w:hAnsi="Times New Roman" w:cs="Times New Roman"/>
          <w:b/>
          <w:sz w:val="24"/>
          <w:szCs w:val="24"/>
        </w:rPr>
      </w:pPr>
    </w:p>
    <w:p w14:paraId="5DC8E6E8" w14:textId="77777777" w:rsidR="00725F8B" w:rsidRDefault="00725F8B">
      <w:pPr>
        <w:rPr>
          <w:rFonts w:ascii="Times New Roman" w:hAnsi="Times New Roman" w:cs="Times New Roman"/>
          <w:b/>
          <w:sz w:val="24"/>
          <w:szCs w:val="24"/>
        </w:rPr>
      </w:pPr>
    </w:p>
    <w:p w14:paraId="1B5F52CF" w14:textId="77777777" w:rsidR="00725F8B" w:rsidRDefault="00725F8B">
      <w:pPr>
        <w:rPr>
          <w:rFonts w:ascii="Times New Roman" w:hAnsi="Times New Roman" w:cs="Times New Roman"/>
          <w:b/>
          <w:sz w:val="24"/>
          <w:szCs w:val="24"/>
        </w:rPr>
      </w:pPr>
    </w:p>
    <w:p w14:paraId="020D8048" w14:textId="77777777" w:rsidR="00725F8B" w:rsidRDefault="00725F8B">
      <w:pPr>
        <w:rPr>
          <w:rFonts w:ascii="Times New Roman" w:hAnsi="Times New Roman" w:cs="Times New Roman"/>
          <w:b/>
          <w:sz w:val="24"/>
          <w:szCs w:val="24"/>
        </w:rPr>
      </w:pPr>
    </w:p>
    <w:p w14:paraId="05D324D2" w14:textId="77777777" w:rsidR="00725F8B" w:rsidRDefault="00725F8B">
      <w:pPr>
        <w:rPr>
          <w:rFonts w:ascii="Times New Roman" w:hAnsi="Times New Roman" w:cs="Times New Roman"/>
          <w:b/>
          <w:sz w:val="24"/>
          <w:szCs w:val="24"/>
        </w:rPr>
      </w:pPr>
    </w:p>
    <w:p w14:paraId="5774C513" w14:textId="77777777" w:rsidR="00725F8B" w:rsidRDefault="00725F8B">
      <w:pPr>
        <w:rPr>
          <w:rFonts w:ascii="Times New Roman" w:hAnsi="Times New Roman" w:cs="Times New Roman"/>
          <w:b/>
          <w:sz w:val="24"/>
          <w:szCs w:val="24"/>
        </w:rPr>
      </w:pPr>
    </w:p>
    <w:p w14:paraId="20FDEF76" w14:textId="77777777" w:rsidR="00725F8B" w:rsidRDefault="00725F8B">
      <w:pPr>
        <w:rPr>
          <w:rFonts w:ascii="Times New Roman" w:hAnsi="Times New Roman" w:cs="Times New Roman"/>
          <w:b/>
          <w:sz w:val="24"/>
          <w:szCs w:val="24"/>
        </w:rPr>
      </w:pPr>
    </w:p>
    <w:p w14:paraId="37A64C6C" w14:textId="35B94E4F"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References</w:t>
      </w:r>
    </w:p>
    <w:p w14:paraId="01CEAED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w:t>
      </w:r>
      <w:r w:rsidRPr="007D7E76">
        <w:rPr>
          <w:rFonts w:ascii="Times New Roman" w:hAnsi="Times New Roman" w:cs="Times New Roman"/>
          <w:sz w:val="24"/>
          <w:szCs w:val="24"/>
        </w:rPr>
        <w:tab/>
        <w:t>Alexandrou E, Ray-Barruel G, Carr PJ, Frost SA, Inwood S, Higgins N, et al. Use of Short Peripheral Intravenous Catheters: Characteristics, Management, and Outcomes Worldwide. J Hosp Med. 2018;13(5).</w:t>
      </w:r>
    </w:p>
    <w:p w14:paraId="71154AC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w:t>
      </w:r>
      <w:r w:rsidRPr="007D7E76">
        <w:rPr>
          <w:rFonts w:ascii="Times New Roman" w:hAnsi="Times New Roman" w:cs="Times New Roman"/>
          <w:sz w:val="24"/>
          <w:szCs w:val="24"/>
        </w:rPr>
        <w:tab/>
        <w:t>O'Grady NP, Alexander M, Burns LA, Dellinger EP, Garland J, Heard SO, et al. Guidelines for the prevention of intravascular catheter-related infections. Am J Infect Control. 2011;39(4 Suppl 1</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1-34.</w:t>
      </w:r>
    </w:p>
    <w:p w14:paraId="58E1F59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w:t>
      </w:r>
      <w:r w:rsidRPr="007D7E76">
        <w:rPr>
          <w:rFonts w:ascii="Times New Roman" w:hAnsi="Times New Roman" w:cs="Times New Roman"/>
          <w:sz w:val="24"/>
          <w:szCs w:val="24"/>
        </w:rPr>
        <w:tab/>
        <w:t>Nickel B, Gorski L, Kleidon T, Kyes A, DeVries M, Keogh S, et al. Infusion Therapy Standards of Practice, 9th Edition. J Infus Nurs. 2024;47(1S Suppl 1</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1-S285.</w:t>
      </w:r>
    </w:p>
    <w:p w14:paraId="6F971E5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4.</w:t>
      </w:r>
      <w:r w:rsidRPr="007D7E76">
        <w:rPr>
          <w:rFonts w:ascii="Times New Roman" w:hAnsi="Times New Roman" w:cs="Times New Roman"/>
          <w:sz w:val="24"/>
          <w:szCs w:val="24"/>
        </w:rPr>
        <w:tab/>
        <w:t>Egan G, Healy D, O'Neill H, Clarke-Moloney M, Grace PA, Walsh SR. Ultrasound guidance for difficult peripheral venous access: systematic review and meta-analysis. Emerg Med J. 2013;30(7):521-6.</w:t>
      </w:r>
    </w:p>
    <w:p w14:paraId="13738E7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5.</w:t>
      </w:r>
      <w:r w:rsidRPr="007D7E76">
        <w:rPr>
          <w:rFonts w:ascii="Times New Roman" w:hAnsi="Times New Roman" w:cs="Times New Roman"/>
          <w:sz w:val="24"/>
          <w:szCs w:val="24"/>
        </w:rPr>
        <w:tab/>
        <w:t>Avelar AF, Peterlini MA, da Luz Goncalves Pedreira M. Ultrasonography-Guided Peripheral Intravenous Access in Children: A Randomized Controlled Trial. J Infus Nurs. 2015;38(5):320-7.</w:t>
      </w:r>
    </w:p>
    <w:p w14:paraId="532DB1D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6.</w:t>
      </w:r>
      <w:r w:rsidRPr="007D7E76">
        <w:rPr>
          <w:rFonts w:ascii="Times New Roman" w:hAnsi="Times New Roman" w:cs="Times New Roman"/>
          <w:sz w:val="24"/>
          <w:szCs w:val="24"/>
        </w:rPr>
        <w:tab/>
        <w:t>van Loon FHJ, Buise MP, Claassen JJF, Dierick-van Daele ATM, Bouwman ARA. Comparison of ultrasound guidance with palpation and direct visualization for peripheral vein cannulation in adult patients: a systematic review and meta-analysis. Br J Anaesth. 2018;121(2):358-66.</w:t>
      </w:r>
    </w:p>
    <w:p w14:paraId="1B0D596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7.</w:t>
      </w:r>
      <w:r w:rsidRPr="007D7E76">
        <w:rPr>
          <w:rFonts w:ascii="Times New Roman" w:hAnsi="Times New Roman" w:cs="Times New Roman"/>
          <w:sz w:val="24"/>
          <w:szCs w:val="24"/>
        </w:rPr>
        <w:tab/>
        <w:t>Fields JM, Dean AJ, Todman RW, Au AK, Anderson KL, Ku BS, et al. The effect of vessel depth, diameter, and location on ultrasound-guided peripheral intravenous catheter longevity. Am J Emerg Med. 2012;30(7):1134-40.</w:t>
      </w:r>
    </w:p>
    <w:p w14:paraId="6A2CAB3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8.</w:t>
      </w:r>
      <w:r w:rsidRPr="007D7E76">
        <w:rPr>
          <w:rFonts w:ascii="Times New Roman" w:hAnsi="Times New Roman" w:cs="Times New Roman"/>
          <w:sz w:val="24"/>
          <w:szCs w:val="24"/>
        </w:rPr>
        <w:tab/>
        <w:t>Elia F, Ferrari G, Molino P, Converso M, De Filippi G, Milan A, et al. Standard-length catheters vs long catheters in ultrasound-guided peripheral vein cannulation. Am J Emerg Med. 2012;30(5):712-6.</w:t>
      </w:r>
    </w:p>
    <w:p w14:paraId="4EB28B5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9.</w:t>
      </w:r>
      <w:r w:rsidRPr="007D7E76">
        <w:rPr>
          <w:rFonts w:ascii="Times New Roman" w:hAnsi="Times New Roman" w:cs="Times New Roman"/>
          <w:sz w:val="24"/>
          <w:szCs w:val="24"/>
        </w:rPr>
        <w:tab/>
        <w:t xml:space="preserve">Malik A, Dewald O, Gallien J, Favot M, Kasten A, Reed B, et al. Outcomes of Ultrasound Guided Peripheral Intravenous Catheters Placed in the Emergency Department and Factors Associated with Survival. Open Access Emerg Med. </w:t>
      </w:r>
      <w:proofErr w:type="gramStart"/>
      <w:r w:rsidRPr="007D7E76">
        <w:rPr>
          <w:rFonts w:ascii="Times New Roman" w:hAnsi="Times New Roman" w:cs="Times New Roman"/>
          <w:sz w:val="24"/>
          <w:szCs w:val="24"/>
        </w:rPr>
        <w:t>2023;15:177</w:t>
      </w:r>
      <w:proofErr w:type="gramEnd"/>
      <w:r w:rsidRPr="007D7E76">
        <w:rPr>
          <w:rFonts w:ascii="Times New Roman" w:hAnsi="Times New Roman" w:cs="Times New Roman"/>
          <w:sz w:val="24"/>
          <w:szCs w:val="24"/>
        </w:rPr>
        <w:t>-87.</w:t>
      </w:r>
    </w:p>
    <w:p w14:paraId="32997C2D"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10.</w:t>
      </w:r>
      <w:r w:rsidRPr="007D7E76">
        <w:rPr>
          <w:rFonts w:ascii="Times New Roman" w:hAnsi="Times New Roman" w:cs="Times New Roman"/>
          <w:sz w:val="24"/>
          <w:szCs w:val="24"/>
        </w:rPr>
        <w:tab/>
        <w:t>Avelar AF, Peterlini MA, da Pedreira ML. [Assertiveness and peripheral intravenous catheters dwell time with ultrasonography-guided insertion in children and adolescents]. Rev Esc Enferm USP. 2013;47(3):539-46.</w:t>
      </w:r>
    </w:p>
    <w:p w14:paraId="453D9AD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11.</w:t>
      </w:r>
      <w:r w:rsidRPr="007D7E76">
        <w:rPr>
          <w:rFonts w:ascii="Times New Roman" w:hAnsi="Times New Roman" w:cs="Times New Roman"/>
          <w:sz w:val="24"/>
          <w:szCs w:val="24"/>
        </w:rPr>
        <w:tab/>
        <w:t>Kleidon TM, Schults J, Paterson R, Rickard CM, Ullman AJ. Comparison of ultrasound-guided peripheral intravenous catheter insertion with landmark technique in pediatric patients: A systematic review and meta-analysis. J Paediatr Child Health. 2022;58(6):953-61.</w:t>
      </w:r>
    </w:p>
    <w:p w14:paraId="6769474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12.</w:t>
      </w:r>
      <w:r w:rsidRPr="007D7E76">
        <w:rPr>
          <w:rFonts w:ascii="Times New Roman" w:hAnsi="Times New Roman" w:cs="Times New Roman"/>
          <w:sz w:val="24"/>
          <w:szCs w:val="24"/>
        </w:rPr>
        <w:tab/>
        <w:t>Kleidon TM, Schults JA, Royle RH, Gibson V, Ware RS, Andresen E, et al. First-Attempt Success in Ultrasound-Guided vs Standard Peripheral Intravenous Catheter Insertion: The EPIC Superiority Randomized Clinical Trial. JAMA Pediatr. 2025;179(3):255-63.</w:t>
      </w:r>
    </w:p>
    <w:p w14:paraId="4CE0323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13.</w:t>
      </w:r>
      <w:r w:rsidRPr="007D7E76">
        <w:rPr>
          <w:rFonts w:ascii="Times New Roman" w:hAnsi="Times New Roman" w:cs="Times New Roman"/>
          <w:sz w:val="24"/>
          <w:szCs w:val="24"/>
        </w:rPr>
        <w:tab/>
        <w:t>Kleidon TM, Schults J, Rickard C, Ullman AJ. Ultrasound-guided PIVC insertion: a randomized controlled trial protocol. Br J Nurs. 2023;32(14</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22-S8.</w:t>
      </w:r>
    </w:p>
    <w:p w14:paraId="4FF3C731"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14.</w:t>
      </w:r>
      <w:r w:rsidRPr="007D7E76">
        <w:rPr>
          <w:rFonts w:ascii="Times New Roman" w:hAnsi="Times New Roman" w:cs="Times New Roman"/>
          <w:sz w:val="24"/>
          <w:szCs w:val="24"/>
        </w:rPr>
        <w:tab/>
        <w:t>Desai K, Vinograd AM, Abbadessa MKF, Chen AE. Longevity and Complication Rates of Ultrasound Guided Versus Traditional Peripheral Intravenous Catheters in a Pediatric Emergency Department. J Assoc Vasc Access. 2018;23(3):149-154.</w:t>
      </w:r>
    </w:p>
    <w:p w14:paraId="562D80C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15.</w:t>
      </w:r>
      <w:r w:rsidRPr="007D7E76">
        <w:rPr>
          <w:rFonts w:ascii="Times New Roman" w:hAnsi="Times New Roman" w:cs="Times New Roman"/>
          <w:sz w:val="24"/>
          <w:szCs w:val="24"/>
        </w:rPr>
        <w:tab/>
        <w:t>Nishizawa T, Matsumoto T, Todaka T, Sasano M, Kitagawa H, Shimabuku A. Nurse-Performed Ultrasound-Guided Technique for Difficult Peripheral Intravenous Access in Critically Ill Patients: A Randomized Controlled Trial. J Assoc Vasc Access. 2020;25(2):34-39.</w:t>
      </w:r>
    </w:p>
    <w:p w14:paraId="2AB18A23"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16.</w:t>
      </w:r>
      <w:r w:rsidRPr="007D7E76">
        <w:rPr>
          <w:rFonts w:ascii="Times New Roman" w:hAnsi="Times New Roman" w:cs="Times New Roman"/>
          <w:sz w:val="24"/>
          <w:szCs w:val="24"/>
        </w:rPr>
        <w:tab/>
        <w:t>Bridey C, Thilly N, Lefevre T, Maire-Richard A, Morel M, Levy B, et al. Ultrasound-guided versus landmark approach for peripheral intravenous access by critical care nurses: a randomized controlled study. BMJ Open. 2018;8(6</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020220.</w:t>
      </w:r>
    </w:p>
    <w:p w14:paraId="780D3D9F"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17.</w:t>
      </w:r>
      <w:r w:rsidRPr="007D7E76">
        <w:rPr>
          <w:rFonts w:ascii="Times New Roman" w:hAnsi="Times New Roman" w:cs="Times New Roman"/>
          <w:sz w:val="24"/>
          <w:szCs w:val="24"/>
        </w:rPr>
        <w:tab/>
        <w:t>Varghese S, Ranjit T. Ultrasound-Guided vs Landmark Peripheral IV Cannulation in the Pediatric ED: A Randomized Controlled Trial. Int J Med Public Health. 2025;15(4):1880-1885.</w:t>
      </w:r>
    </w:p>
    <w:p w14:paraId="2F0205F5"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18.</w:t>
      </w:r>
      <w:r w:rsidRPr="007D7E76">
        <w:rPr>
          <w:rFonts w:ascii="Times New Roman" w:hAnsi="Times New Roman" w:cs="Times New Roman"/>
          <w:sz w:val="24"/>
          <w:szCs w:val="24"/>
        </w:rPr>
        <w:tab/>
        <w:t>Leroux S, Deaner T, Wasser T, Huey C, Carr B, Howard A, et al. The Impact of Peripheral Intravenous Catheter Insertion Technique and Catheter-to-Vein Ratio on Postinsertion Failure. J Emerg Med. 2023;64(5):564-73.</w:t>
      </w:r>
    </w:p>
    <w:p w14:paraId="7BAB51F4"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19.</w:t>
      </w:r>
      <w:r w:rsidRPr="007D7E76">
        <w:rPr>
          <w:rFonts w:ascii="Times New Roman" w:hAnsi="Times New Roman" w:cs="Times New Roman"/>
          <w:sz w:val="24"/>
          <w:szCs w:val="24"/>
        </w:rPr>
        <w:tab/>
        <w:t>Feinsmith SE, Amick AE, Feinglass JM, Sell J, Davis EM, Spencer TR, et al. Performance of peripheral catheters inserted with ultrasound guidance versus landmark technique after a simulation-based mastery learning intervention. J Vasc Access. 2023;24(4):630-8.</w:t>
      </w:r>
    </w:p>
    <w:p w14:paraId="7674088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20.</w:t>
      </w:r>
      <w:r w:rsidRPr="007D7E76">
        <w:rPr>
          <w:rFonts w:ascii="Times New Roman" w:hAnsi="Times New Roman" w:cs="Times New Roman"/>
          <w:sz w:val="24"/>
          <w:szCs w:val="24"/>
        </w:rPr>
        <w:tab/>
        <w:t>Shokoohi H, Boniface KS, Kulie P, Long A, McCarthy M. The Utility and Survivorship of Peripheral Intravenous Catheters Inserted in the Emergency Department. Ann Emerg Med. 2019;74(3):381-90.</w:t>
      </w:r>
    </w:p>
    <w:p w14:paraId="5C7926C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21.</w:t>
      </w:r>
      <w:r w:rsidRPr="007D7E76">
        <w:rPr>
          <w:rFonts w:ascii="Times New Roman" w:hAnsi="Times New Roman" w:cs="Times New Roman"/>
          <w:sz w:val="24"/>
          <w:szCs w:val="24"/>
        </w:rPr>
        <w:tab/>
        <w:t>Cottrell JT, Chang T, Baird J, Barreras J, Elkhunovich MA. Ultrasound-guided placement of peripherally inserted intravenous catheters increase catheter dwell time in children. J Vasc Access. 2021;22(2):189-93.</w:t>
      </w:r>
    </w:p>
    <w:p w14:paraId="2ED239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22.</w:t>
      </w:r>
      <w:r w:rsidRPr="007D7E76">
        <w:rPr>
          <w:rFonts w:ascii="Times New Roman" w:hAnsi="Times New Roman" w:cs="Times New Roman"/>
          <w:sz w:val="24"/>
          <w:szCs w:val="24"/>
        </w:rPr>
        <w:tab/>
        <w:t>Dachepally R, Garcia AD, Liu W, Flechler C, Hanna WJ. Assessing the utility of ultrasound-guided vascular access placement with longer catheters in critically ill pediatric patients. Paediatr Anaesth. 2023;33(6):460-5.</w:t>
      </w:r>
    </w:p>
    <w:p w14:paraId="51FA7177"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23.</w:t>
      </w:r>
      <w:r w:rsidRPr="007D7E76">
        <w:rPr>
          <w:rFonts w:ascii="Times New Roman" w:hAnsi="Times New Roman" w:cs="Times New Roman"/>
          <w:sz w:val="24"/>
          <w:szCs w:val="24"/>
        </w:rPr>
        <w:tab/>
        <w:t>Paladini A, Chiaretti A, Sellasie KW, Pittiruti M, Vento G. Ultrasound-guided placement of long peripheral cannulas in children over the age of 10 years admitted to the emergency department: a pilot study. BMJ Paediatr Open. 2018;2(1</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000244.</w:t>
      </w:r>
    </w:p>
    <w:p w14:paraId="0FDFCC1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24.</w:t>
      </w:r>
      <w:r w:rsidRPr="007D7E76">
        <w:rPr>
          <w:rFonts w:ascii="Times New Roman" w:hAnsi="Times New Roman" w:cs="Times New Roman"/>
          <w:sz w:val="24"/>
          <w:szCs w:val="24"/>
        </w:rPr>
        <w:tab/>
        <w:t>Refosco M, Mazza A, Divisic A, Binotto D, Zamberlan S, Schiavon B, et al. Comparison of peripheral cannula outcomes, ultrasound-guided placement of deep veins versus blind insertion of superficial veins in children aged 0-18 years: A retrospective study. J Vasc Access. 2025;26(5):1476-81.</w:t>
      </w:r>
    </w:p>
    <w:p w14:paraId="17A5F48A"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25.</w:t>
      </w:r>
      <w:r w:rsidRPr="007D7E76">
        <w:rPr>
          <w:rFonts w:ascii="Times New Roman" w:hAnsi="Times New Roman" w:cs="Times New Roman"/>
          <w:sz w:val="24"/>
          <w:szCs w:val="24"/>
        </w:rPr>
        <w:tab/>
        <w:t>Favot M, Gallien J, Malik A, Kasten A, Wells R, Ehrman R. Contrast Extravasation as a Complication of Emergency Nurse-Performed Ultrasound-Guided Peripheral Intravenous Catheter Placement. J Emerg Nurs. 2019;45(5):512-6.</w:t>
      </w:r>
    </w:p>
    <w:p w14:paraId="54A3059C"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26.</w:t>
      </w:r>
      <w:r w:rsidRPr="007D7E76">
        <w:rPr>
          <w:rFonts w:ascii="Times New Roman" w:hAnsi="Times New Roman" w:cs="Times New Roman"/>
          <w:sz w:val="24"/>
          <w:szCs w:val="24"/>
        </w:rPr>
        <w:tab/>
        <w:t xml:space="preserve">Saltarelli NA, VanHouten J, Boyd J, Rupp J, Ferre RM. Infiltration Rates Are Similar in Ultrasound-Guided and Traditionally Placed Peripheral IVs in Admitted Emergency Department Patients </w:t>
      </w:r>
      <w:proofErr w:type="gramStart"/>
      <w:r w:rsidRPr="007D7E76">
        <w:rPr>
          <w:rFonts w:ascii="Times New Roman" w:hAnsi="Times New Roman" w:cs="Times New Roman"/>
          <w:sz w:val="24"/>
          <w:szCs w:val="24"/>
        </w:rPr>
        <w:t>With</w:t>
      </w:r>
      <w:proofErr w:type="gramEnd"/>
      <w:r w:rsidRPr="007D7E76">
        <w:rPr>
          <w:rFonts w:ascii="Times New Roman" w:hAnsi="Times New Roman" w:cs="Times New Roman"/>
          <w:sz w:val="24"/>
          <w:szCs w:val="24"/>
        </w:rPr>
        <w:t xml:space="preserve"> Difficult IV Access. Ann Emerg Med. 2015;66(4 Suppl</w:t>
      </w:r>
      <w:proofErr w:type="gramStart"/>
      <w:r w:rsidRPr="007D7E76">
        <w:rPr>
          <w:rFonts w:ascii="Times New Roman" w:hAnsi="Times New Roman" w:cs="Times New Roman"/>
          <w:sz w:val="24"/>
          <w:szCs w:val="24"/>
        </w:rPr>
        <w:t>):S</w:t>
      </w:r>
      <w:proofErr w:type="gramEnd"/>
      <w:r w:rsidRPr="007D7E76">
        <w:rPr>
          <w:rFonts w:ascii="Times New Roman" w:hAnsi="Times New Roman" w:cs="Times New Roman"/>
          <w:sz w:val="24"/>
          <w:szCs w:val="24"/>
        </w:rPr>
        <w:t>137.</w:t>
      </w:r>
    </w:p>
    <w:p w14:paraId="0D1B0359"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27.</w:t>
      </w:r>
      <w:r w:rsidRPr="007D7E76">
        <w:rPr>
          <w:rFonts w:ascii="Times New Roman" w:hAnsi="Times New Roman" w:cs="Times New Roman"/>
          <w:sz w:val="24"/>
          <w:szCs w:val="24"/>
        </w:rPr>
        <w:tab/>
        <w:t>Stolz LA, Stolz U, Howe C, Farrell IJ, Adhikari S. Ultrasound-guided peripheral venous access: a meta-analysis and systematic review. J Vasc Access. 2015;16(4):321-6.</w:t>
      </w:r>
    </w:p>
    <w:p w14:paraId="605C205B"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28.</w:t>
      </w:r>
      <w:r w:rsidRPr="007D7E76">
        <w:rPr>
          <w:rFonts w:ascii="Times New Roman" w:hAnsi="Times New Roman" w:cs="Times New Roman"/>
          <w:sz w:val="24"/>
          <w:szCs w:val="24"/>
        </w:rPr>
        <w:tab/>
        <w:t>van Loon FHJ, Korsten HHM, Dierick-van Daele ATM, Bouwman ARA. The impact of the catheter to vein ratio on peripheral intravenous cannulation success, a post-hoc analyses. PLoS One. 2021;16(5</w:t>
      </w:r>
      <w:proofErr w:type="gramStart"/>
      <w:r w:rsidRPr="007D7E76">
        <w:rPr>
          <w:rFonts w:ascii="Times New Roman" w:hAnsi="Times New Roman" w:cs="Times New Roman"/>
          <w:sz w:val="24"/>
          <w:szCs w:val="24"/>
        </w:rPr>
        <w:t>):e</w:t>
      </w:r>
      <w:proofErr w:type="gramEnd"/>
      <w:r w:rsidRPr="007D7E76">
        <w:rPr>
          <w:rFonts w:ascii="Times New Roman" w:hAnsi="Times New Roman" w:cs="Times New Roman"/>
          <w:sz w:val="24"/>
          <w:szCs w:val="24"/>
        </w:rPr>
        <w:t>0252166.</w:t>
      </w:r>
    </w:p>
    <w:p w14:paraId="495237A6"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29.</w:t>
      </w:r>
      <w:r w:rsidRPr="007D7E76">
        <w:rPr>
          <w:rFonts w:ascii="Times New Roman" w:hAnsi="Times New Roman" w:cs="Times New Roman"/>
          <w:sz w:val="24"/>
          <w:szCs w:val="24"/>
        </w:rPr>
        <w:tab/>
        <w:t>Pandurangadu AV, Tucker J, Brackney AR, Bahl A. Ultrasound-guided intravenous catheter survival impacted by amount of catheter residing in the vein. Emerg Med J. 2018;35(9):550-5.</w:t>
      </w:r>
    </w:p>
    <w:p w14:paraId="722DA70E"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30.</w:t>
      </w:r>
      <w:r w:rsidRPr="007D7E76">
        <w:rPr>
          <w:rFonts w:ascii="Times New Roman" w:hAnsi="Times New Roman" w:cs="Times New Roman"/>
          <w:sz w:val="24"/>
          <w:szCs w:val="24"/>
        </w:rPr>
        <w:tab/>
        <w:t>Guyatt GH, Oxman AD, Vist GE, Kunz R, Falck-Ytter Y, Alonso-Coello P, et al. GRADE: an emerging consensus on rating quality of evidence and strength of recommendations. BMJ. 2008;336(7650):924-6.</w:t>
      </w:r>
    </w:p>
    <w:p w14:paraId="5C6EB66D"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31.</w:t>
      </w:r>
      <w:r w:rsidRPr="00176099">
        <w:rPr>
          <w:rFonts w:ascii="Times New Roman" w:hAnsi="Times New Roman" w:cs="Times New Roman"/>
          <w:color w:val="FF0000"/>
          <w:sz w:val="24"/>
          <w:szCs w:val="24"/>
        </w:rPr>
        <w:tab/>
        <w:t>Balduzzi S, Rücker G, Schwarzer G. How to perform a meta-analysis with R: a practical tutorial. Evid Based Ment Health. 2019;22(4):153-160.</w:t>
      </w:r>
    </w:p>
    <w:p w14:paraId="1E5954A2"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32.</w:t>
      </w:r>
      <w:r w:rsidRPr="00176099">
        <w:rPr>
          <w:rFonts w:ascii="Times New Roman" w:hAnsi="Times New Roman" w:cs="Times New Roman"/>
          <w:color w:val="FF0000"/>
          <w:sz w:val="24"/>
          <w:szCs w:val="24"/>
        </w:rPr>
        <w:tab/>
        <w:t>Viechtbauer W. Conducting meta-analyses in R with the metafor package. J Stat Softw. 2010;36(3):1-48.</w:t>
      </w:r>
    </w:p>
    <w:p w14:paraId="641086F1"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33.</w:t>
      </w:r>
      <w:r w:rsidRPr="00176099">
        <w:rPr>
          <w:rFonts w:ascii="Times New Roman" w:hAnsi="Times New Roman" w:cs="Times New Roman"/>
          <w:color w:val="FF0000"/>
          <w:sz w:val="24"/>
          <w:szCs w:val="24"/>
        </w:rPr>
        <w:tab/>
        <w:t>Byrt T, Bishop J, Carlin JB. Bias, prevalence and kappa. J Clin Epidemiol. 1993;46(5):423-9.</w:t>
      </w:r>
    </w:p>
    <w:p w14:paraId="6915BF50"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34.</w:t>
      </w:r>
      <w:r w:rsidRPr="00176099">
        <w:rPr>
          <w:rFonts w:ascii="Times New Roman" w:hAnsi="Times New Roman" w:cs="Times New Roman"/>
          <w:color w:val="FF0000"/>
          <w:sz w:val="24"/>
          <w:szCs w:val="24"/>
        </w:rPr>
        <w:tab/>
        <w:t>Tran QK, Fairchild M, Yardi I, Mirda D, Markin K, Pourmand A. Efficacy of Ultrasound-Guided Peripheral Intravenous Cannulation versus Standard of Care: A Systematic Review and Meta-analysis. Ultrasound Med Biol. 2021;47(11):3068-78.</w:t>
      </w:r>
    </w:p>
    <w:p w14:paraId="02595242" w14:textId="77777777" w:rsidR="003C5087" w:rsidRPr="00176099" w:rsidRDefault="00E2355C">
      <w:pPr>
        <w:rPr>
          <w:rFonts w:ascii="Times New Roman" w:hAnsi="Times New Roman" w:cs="Times New Roman"/>
          <w:color w:val="FF0000"/>
          <w:sz w:val="24"/>
          <w:szCs w:val="24"/>
        </w:rPr>
      </w:pPr>
      <w:r w:rsidRPr="00176099">
        <w:rPr>
          <w:rFonts w:ascii="Times New Roman" w:hAnsi="Times New Roman" w:cs="Times New Roman"/>
          <w:color w:val="FF0000"/>
          <w:sz w:val="24"/>
          <w:szCs w:val="24"/>
        </w:rPr>
        <w:t>35.</w:t>
      </w:r>
      <w:r w:rsidRPr="00176099">
        <w:rPr>
          <w:rFonts w:ascii="Times New Roman" w:hAnsi="Times New Roman" w:cs="Times New Roman"/>
          <w:color w:val="FF0000"/>
          <w:sz w:val="24"/>
          <w:szCs w:val="24"/>
        </w:rPr>
        <w:tab/>
        <w:t xml:space="preserve">IntHout J, Ioannidis JPA, Borm GF. The Hartung-Knapp-Sidik-Jonkman method for random effects meta-analysis is straightforward and considerably outperforms the standard DerSimonian-Laird method. BMC Med Res Methodol. </w:t>
      </w:r>
      <w:proofErr w:type="gramStart"/>
      <w:r w:rsidRPr="00176099">
        <w:rPr>
          <w:rFonts w:ascii="Times New Roman" w:hAnsi="Times New Roman" w:cs="Times New Roman"/>
          <w:color w:val="FF0000"/>
          <w:sz w:val="24"/>
          <w:szCs w:val="24"/>
        </w:rPr>
        <w:t>2014;14:25</w:t>
      </w:r>
      <w:proofErr w:type="gramEnd"/>
      <w:r w:rsidRPr="00176099">
        <w:rPr>
          <w:rFonts w:ascii="Times New Roman" w:hAnsi="Times New Roman" w:cs="Times New Roman"/>
          <w:color w:val="FF0000"/>
          <w:sz w:val="24"/>
          <w:szCs w:val="24"/>
        </w:rPr>
        <w:t>.</w:t>
      </w:r>
    </w:p>
    <w:p w14:paraId="2E5A2AE7" w14:textId="77777777" w:rsidR="00725F8B" w:rsidRDefault="00725F8B">
      <w:pPr>
        <w:rPr>
          <w:rFonts w:ascii="Times New Roman" w:hAnsi="Times New Roman" w:cs="Times New Roman"/>
          <w:b/>
          <w:sz w:val="24"/>
          <w:szCs w:val="24"/>
        </w:rPr>
      </w:pPr>
    </w:p>
    <w:p w14:paraId="51160DB6" w14:textId="77777777" w:rsidR="00725F8B" w:rsidRDefault="00725F8B">
      <w:pPr>
        <w:rPr>
          <w:rFonts w:ascii="Times New Roman" w:hAnsi="Times New Roman" w:cs="Times New Roman"/>
          <w:b/>
          <w:sz w:val="24"/>
          <w:szCs w:val="24"/>
        </w:rPr>
      </w:pPr>
    </w:p>
    <w:p w14:paraId="12AC9C27" w14:textId="77777777" w:rsidR="00725F8B" w:rsidRDefault="00725F8B">
      <w:pPr>
        <w:rPr>
          <w:rFonts w:ascii="Times New Roman" w:hAnsi="Times New Roman" w:cs="Times New Roman"/>
          <w:b/>
          <w:sz w:val="24"/>
          <w:szCs w:val="24"/>
        </w:rPr>
      </w:pPr>
    </w:p>
    <w:p w14:paraId="2F86D77C" w14:textId="77777777" w:rsidR="00725F8B" w:rsidRDefault="00725F8B">
      <w:pPr>
        <w:rPr>
          <w:rFonts w:ascii="Times New Roman" w:hAnsi="Times New Roman" w:cs="Times New Roman"/>
          <w:b/>
          <w:sz w:val="24"/>
          <w:szCs w:val="24"/>
        </w:rPr>
      </w:pPr>
    </w:p>
    <w:p w14:paraId="6331F88C" w14:textId="77777777" w:rsidR="00725F8B" w:rsidRDefault="00725F8B">
      <w:pPr>
        <w:rPr>
          <w:rFonts w:ascii="Times New Roman" w:hAnsi="Times New Roman" w:cs="Times New Roman"/>
          <w:b/>
          <w:sz w:val="24"/>
          <w:szCs w:val="24"/>
        </w:rPr>
      </w:pPr>
    </w:p>
    <w:p w14:paraId="4E03353F" w14:textId="77777777" w:rsidR="00725F8B" w:rsidRDefault="00725F8B">
      <w:pPr>
        <w:rPr>
          <w:rFonts w:ascii="Times New Roman" w:hAnsi="Times New Roman" w:cs="Times New Roman"/>
          <w:b/>
          <w:sz w:val="24"/>
          <w:szCs w:val="24"/>
        </w:rPr>
      </w:pPr>
    </w:p>
    <w:p w14:paraId="6A47F739" w14:textId="77777777" w:rsidR="00725F8B" w:rsidRDefault="00725F8B">
      <w:pPr>
        <w:rPr>
          <w:rFonts w:ascii="Times New Roman" w:hAnsi="Times New Roman" w:cs="Times New Roman"/>
          <w:b/>
          <w:sz w:val="24"/>
          <w:szCs w:val="24"/>
        </w:rPr>
      </w:pPr>
    </w:p>
    <w:p w14:paraId="00245B4A" w14:textId="77777777" w:rsidR="00725F8B" w:rsidRDefault="00725F8B">
      <w:pPr>
        <w:rPr>
          <w:rFonts w:ascii="Times New Roman" w:hAnsi="Times New Roman" w:cs="Times New Roman"/>
          <w:b/>
          <w:sz w:val="24"/>
          <w:szCs w:val="24"/>
        </w:rPr>
      </w:pPr>
    </w:p>
    <w:p w14:paraId="5119CB41" w14:textId="77777777" w:rsidR="00725F8B" w:rsidRDefault="00725F8B">
      <w:pPr>
        <w:rPr>
          <w:rFonts w:ascii="Times New Roman" w:hAnsi="Times New Roman" w:cs="Times New Roman"/>
          <w:b/>
          <w:sz w:val="24"/>
          <w:szCs w:val="24"/>
        </w:rPr>
      </w:pPr>
    </w:p>
    <w:p w14:paraId="7968BF09" w14:textId="77777777" w:rsidR="00725F8B" w:rsidRDefault="00725F8B">
      <w:pPr>
        <w:rPr>
          <w:rFonts w:ascii="Times New Roman" w:hAnsi="Times New Roman" w:cs="Times New Roman"/>
          <w:b/>
          <w:sz w:val="24"/>
          <w:szCs w:val="24"/>
        </w:rPr>
      </w:pPr>
    </w:p>
    <w:p w14:paraId="361A8A54" w14:textId="77777777" w:rsidR="00725F8B" w:rsidRDefault="00725F8B">
      <w:pPr>
        <w:rPr>
          <w:rFonts w:ascii="Times New Roman" w:hAnsi="Times New Roman" w:cs="Times New Roman"/>
          <w:b/>
          <w:sz w:val="24"/>
          <w:szCs w:val="24"/>
        </w:rPr>
      </w:pPr>
    </w:p>
    <w:p w14:paraId="40ED3309" w14:textId="77777777" w:rsidR="00725F8B" w:rsidRDefault="00725F8B">
      <w:pPr>
        <w:rPr>
          <w:rFonts w:ascii="Times New Roman" w:hAnsi="Times New Roman" w:cs="Times New Roman"/>
          <w:b/>
          <w:sz w:val="24"/>
          <w:szCs w:val="24"/>
        </w:rPr>
      </w:pPr>
    </w:p>
    <w:p w14:paraId="2FD7FF8B" w14:textId="77777777" w:rsidR="00725F8B" w:rsidRDefault="00725F8B">
      <w:pPr>
        <w:rPr>
          <w:rFonts w:ascii="Times New Roman" w:hAnsi="Times New Roman" w:cs="Times New Roman"/>
          <w:b/>
          <w:sz w:val="24"/>
          <w:szCs w:val="24"/>
        </w:rPr>
      </w:pPr>
    </w:p>
    <w:p w14:paraId="3F463EF1" w14:textId="77777777" w:rsidR="00725F8B" w:rsidRDefault="00725F8B">
      <w:pPr>
        <w:rPr>
          <w:rFonts w:ascii="Times New Roman" w:hAnsi="Times New Roman" w:cs="Times New Roman"/>
          <w:b/>
          <w:sz w:val="24"/>
          <w:szCs w:val="24"/>
        </w:rPr>
      </w:pPr>
    </w:p>
    <w:p w14:paraId="09B636F2" w14:textId="77777777" w:rsidR="00725F8B" w:rsidRDefault="00725F8B">
      <w:pPr>
        <w:rPr>
          <w:rFonts w:ascii="Times New Roman" w:hAnsi="Times New Roman" w:cs="Times New Roman"/>
          <w:b/>
          <w:sz w:val="24"/>
          <w:szCs w:val="24"/>
        </w:rPr>
      </w:pPr>
    </w:p>
    <w:p w14:paraId="337D6C79" w14:textId="77777777" w:rsidR="00725F8B" w:rsidRDefault="00725F8B">
      <w:pPr>
        <w:rPr>
          <w:rFonts w:ascii="Times New Roman" w:hAnsi="Times New Roman" w:cs="Times New Roman"/>
          <w:b/>
          <w:sz w:val="24"/>
          <w:szCs w:val="24"/>
        </w:rPr>
      </w:pPr>
    </w:p>
    <w:p w14:paraId="24E7ECB2" w14:textId="77777777" w:rsidR="00725F8B" w:rsidRDefault="00725F8B">
      <w:pPr>
        <w:rPr>
          <w:rFonts w:ascii="Times New Roman" w:hAnsi="Times New Roman" w:cs="Times New Roman"/>
          <w:b/>
          <w:sz w:val="24"/>
          <w:szCs w:val="24"/>
        </w:rPr>
      </w:pPr>
    </w:p>
    <w:p w14:paraId="18AC5A7A" w14:textId="77777777" w:rsidR="00725F8B" w:rsidRDefault="00725F8B">
      <w:pPr>
        <w:rPr>
          <w:rFonts w:ascii="Times New Roman" w:hAnsi="Times New Roman" w:cs="Times New Roman"/>
          <w:b/>
          <w:sz w:val="24"/>
          <w:szCs w:val="24"/>
        </w:rPr>
      </w:pPr>
    </w:p>
    <w:p w14:paraId="531FB505" w14:textId="77777777" w:rsidR="00725F8B" w:rsidRDefault="00725F8B">
      <w:pPr>
        <w:rPr>
          <w:rFonts w:ascii="Times New Roman" w:hAnsi="Times New Roman" w:cs="Times New Roman"/>
          <w:b/>
          <w:sz w:val="24"/>
          <w:szCs w:val="24"/>
        </w:rPr>
      </w:pPr>
    </w:p>
    <w:p w14:paraId="2E71CCC0" w14:textId="77777777" w:rsidR="00725F8B" w:rsidRDefault="00725F8B">
      <w:pPr>
        <w:rPr>
          <w:rFonts w:ascii="Times New Roman" w:hAnsi="Times New Roman" w:cs="Times New Roman"/>
          <w:b/>
          <w:sz w:val="24"/>
          <w:szCs w:val="24"/>
        </w:rPr>
      </w:pPr>
    </w:p>
    <w:p w14:paraId="56897041" w14:textId="77777777" w:rsidR="00725F8B" w:rsidRDefault="00725F8B">
      <w:pPr>
        <w:rPr>
          <w:rFonts w:ascii="Times New Roman" w:hAnsi="Times New Roman" w:cs="Times New Roman"/>
          <w:b/>
          <w:sz w:val="24"/>
          <w:szCs w:val="24"/>
        </w:rPr>
      </w:pPr>
    </w:p>
    <w:p w14:paraId="37B55A8F" w14:textId="5EC8C063" w:rsidR="003C5087" w:rsidRPr="007D7E76" w:rsidRDefault="00E2355C">
      <w:pPr>
        <w:rPr>
          <w:rFonts w:ascii="Times New Roman" w:hAnsi="Times New Roman" w:cs="Times New Roman"/>
          <w:sz w:val="24"/>
          <w:szCs w:val="24"/>
        </w:rPr>
      </w:pPr>
      <w:r w:rsidRPr="007D7E76">
        <w:rPr>
          <w:rFonts w:ascii="Times New Roman" w:hAnsi="Times New Roman" w:cs="Times New Roman"/>
          <w:b/>
          <w:sz w:val="24"/>
          <w:szCs w:val="24"/>
        </w:rPr>
        <w:t>Figure legends</w:t>
      </w:r>
    </w:p>
    <w:p w14:paraId="435FFCB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1.</w:t>
      </w:r>
      <w:r w:rsidRPr="007D7E76">
        <w:rPr>
          <w:rFonts w:ascii="Times New Roman" w:hAnsi="Times New Roman" w:cs="Times New Roman"/>
          <w:sz w:val="24"/>
          <w:szCs w:val="24"/>
        </w:rPr>
        <w:t xml:space="preserve"> Risk-of-bias and methodological-quality summary across all </w:t>
      </w:r>
      <w:r w:rsidRPr="007D7E76">
        <w:rPr>
          <w:rFonts w:ascii="Times New Roman" w:hAnsi="Times New Roman" w:cs="Times New Roman"/>
          <w:color w:val="C00000"/>
          <w:sz w:val="24"/>
          <w:szCs w:val="24"/>
        </w:rPr>
        <w:t>15</w:t>
      </w:r>
      <w:r w:rsidRPr="007D7E76">
        <w:rPr>
          <w:rFonts w:ascii="Times New Roman" w:hAnsi="Times New Roman" w:cs="Times New Roman"/>
          <w:sz w:val="24"/>
          <w:szCs w:val="24"/>
        </w:rPr>
        <w:t xml:space="preserve"> included studies (Based on Cochrane RoB 2 for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and Newcastle-Ottawa Scale for 9 cohort studies; see Table 2 for details) (A) Cochrane RoB 2 traffic-light plot (RCTs, n =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Uses traffic-light colors (green/yellow/red) to display the risk-of-bias judgments across domains for each of the </w:t>
      </w:r>
      <w:r w:rsidRPr="007D7E76">
        <w:rPr>
          <w:rFonts w:ascii="Times New Roman" w:hAnsi="Times New Roman" w:cs="Times New Roman"/>
          <w:color w:val="C00000"/>
          <w:sz w:val="24"/>
          <w:szCs w:val="24"/>
        </w:rPr>
        <w:t>6</w:t>
      </w:r>
      <w:r w:rsidRPr="007D7E76">
        <w:rPr>
          <w:rFonts w:ascii="Times New Roman" w:hAnsi="Times New Roman" w:cs="Times New Roman"/>
          <w:sz w:val="24"/>
          <w:szCs w:val="24"/>
        </w:rPr>
        <w:t xml:space="preserve"> RCTs. (B) Newcastle-Ottawa Scale (cohort studies, n = 9). For each of the 9 cohort studies, stars are shown per NOS domain (Selection /4, Comparability /2, Outcome /3); colors indicate the derived risk band. (C) Overall risk distribution by assessment tool. Summarizes the results from both tools, showing the number or proportion of studies rated as low, some concerns, and high risk of bias overall. </w:t>
      </w:r>
    </w:p>
    <w:p w14:paraId="546EBE0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2.</w:t>
      </w:r>
      <w:r w:rsidRPr="007D7E76">
        <w:rPr>
          <w:rFonts w:ascii="Times New Roman" w:hAnsi="Times New Roman" w:cs="Times New Roman"/>
          <w:sz w:val="24"/>
          <w:szCs w:val="24"/>
        </w:rPr>
        <w:t xml:space="preserve"> PRISMA 2020 Flow Diagram. </w:t>
      </w:r>
    </w:p>
    <w:p w14:paraId="377C6882" w14:textId="77777777" w:rsidR="003C5087" w:rsidRPr="007D7E76" w:rsidRDefault="00E2355C">
      <w:pPr>
        <w:rPr>
          <w:rFonts w:ascii="Times New Roman" w:hAnsi="Times New Roman" w:cs="Times New Roman"/>
          <w:sz w:val="24"/>
          <w:szCs w:val="24"/>
        </w:rPr>
      </w:pPr>
      <w:r w:rsidRPr="007D7E76">
        <w:rPr>
          <w:rFonts w:ascii="Times New Roman" w:hAnsi="Times New Roman" w:cs="Times New Roman"/>
          <w:sz w:val="24"/>
          <w:szCs w:val="24"/>
        </w:rPr>
        <w:t>Figure 3. Forest plot: catheter failure or premature removal, USG vs landmark PIVCs (k = 4: 2 RCTs + 2 cohort studies). Random-effects (DerSimonian-Laird) pooled estimate shown; the borderline signal (RR 1.23, 95% CI 1.00–1.51, p = 0.056) is driven primarily by the cohort component (see Results, Catheter Failure). PIVC type and intravascular catheter-segment length are reported in Table 1 where available; standard short PIVCs predominate in the four pooled studies.</w:t>
      </w:r>
    </w:p>
    <w:p w14:paraId="3AC220E3"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4.</w:t>
      </w:r>
      <w:r w:rsidRPr="007D7E76">
        <w:rPr>
          <w:rFonts w:ascii="Times New Roman" w:hAnsi="Times New Roman" w:cs="Times New Roman"/>
          <w:sz w:val="24"/>
          <w:szCs w:val="24"/>
        </w:rPr>
        <w:t xml:space="preserve"> Forest plot: catheter dwell time (USG vs landmark), continuous outcome (k = 3: 2 RCTs + 1 cohort). The pooled diamond is intentionally suppressed under the pre-specified I² &gt; 75% rule (I² = 91.9%); only individual study estimates are shown. Cottrell 2021 used identical catheter types in both groups but disproportionately classified USG cases as difficult; the other two unconfounded studies (Kleidon 2025; Leroux 2023) used standard short PIVCs and showed no dwell-time difference. Studies in which the USG arm received systematically longer catheters than the landmark arm (</w:t>
      </w:r>
      <w:r w:rsidRPr="007D7E76">
        <w:rPr>
          <w:rFonts w:ascii="Times New Roman" w:hAnsi="Times New Roman" w:cs="Times New Roman"/>
          <w:color w:val="C00000"/>
          <w:sz w:val="24"/>
          <w:szCs w:val="24"/>
        </w:rPr>
        <w:t>Refosco 2025</w:t>
      </w:r>
      <w:r w:rsidRPr="007D7E76">
        <w:rPr>
          <w:rFonts w:ascii="Times New Roman" w:hAnsi="Times New Roman" w:cs="Times New Roman"/>
          <w:sz w:val="24"/>
          <w:szCs w:val="24"/>
        </w:rPr>
        <w:t>; Desai 2018; Dachepally 2023; Paladini 2018) are reported in “Studies with major confounding” rather than in this forest plot.</w:t>
      </w:r>
    </w:p>
    <w:p w14:paraId="44748041"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sz w:val="24"/>
          <w:szCs w:val="24"/>
        </w:rPr>
        <w:t>Figure 5.</w:t>
      </w:r>
      <w:r w:rsidRPr="007D7E76">
        <w:rPr>
          <w:rFonts w:ascii="Times New Roman" w:hAnsi="Times New Roman" w:cs="Times New Roman"/>
          <w:sz w:val="24"/>
          <w:szCs w:val="24"/>
        </w:rPr>
        <w:t xml:space="preserve"> Forest plot: infiltration (USG vs landmark),</w:t>
      </w:r>
      <w:r w:rsidRPr="00176099">
        <w:rPr>
          <w:rFonts w:ascii="Times New Roman" w:hAnsi="Times New Roman" w:cs="Times New Roman"/>
          <w:color w:val="FF0000"/>
          <w:sz w:val="24"/>
          <w:szCs w:val="24"/>
        </w:rPr>
        <w:t xml:space="preserve"> k = 3 (2 RCTs + 1 cohort, all standard-PIVC). Random-effects pooled RR 1.30 (0.82–2.05; I² = 48.8%); the newly added Avelar 2015 trial reported higher infiltration with USG.</w:t>
      </w:r>
    </w:p>
    <w:p w14:paraId="0BE40F47" w14:textId="77777777" w:rsidR="003C5087" w:rsidRPr="007D7E76" w:rsidRDefault="00E2355C">
      <w:pPr>
        <w:rPr>
          <w:rFonts w:ascii="Times New Roman" w:hAnsi="Times New Roman" w:cs="Times New Roman"/>
          <w:sz w:val="24"/>
          <w:szCs w:val="24"/>
        </w:rPr>
      </w:pPr>
      <w:r w:rsidRPr="00725F8B">
        <w:rPr>
          <w:rFonts w:ascii="Times New Roman" w:hAnsi="Times New Roman" w:cs="Times New Roman"/>
          <w:b/>
          <w:bCs/>
          <w:color w:val="FF0000"/>
          <w:sz w:val="24"/>
          <w:szCs w:val="24"/>
        </w:rPr>
        <w:t>Figure 6</w:t>
      </w:r>
      <w:r w:rsidRPr="00725F8B">
        <w:rPr>
          <w:rFonts w:ascii="Times New Roman" w:hAnsi="Times New Roman" w:cs="Times New Roman"/>
          <w:b/>
          <w:bCs/>
          <w:sz w:val="24"/>
          <w:szCs w:val="24"/>
        </w:rPr>
        <w:t>.</w:t>
      </w:r>
      <w:r w:rsidRPr="007D7E76">
        <w:rPr>
          <w:rFonts w:ascii="Times New Roman" w:hAnsi="Times New Roman" w:cs="Times New Roman"/>
          <w:sz w:val="24"/>
          <w:szCs w:val="24"/>
        </w:rPr>
        <w:t xml:space="preserve"> Forest plot: catheter failure subgroup by age (adult vs pediatric,</w:t>
      </w:r>
      <w:r w:rsidRPr="00176099">
        <w:rPr>
          <w:rFonts w:ascii="Times New Roman" w:hAnsi="Times New Roman" w:cs="Times New Roman"/>
          <w:color w:val="FF0000"/>
          <w:sz w:val="24"/>
          <w:szCs w:val="24"/>
        </w:rPr>
        <w:t xml:space="preserve"> k = 4 same as Figure 3)</w:t>
      </w:r>
      <w:r w:rsidRPr="007D7E76">
        <w:rPr>
          <w:rFonts w:ascii="Times New Roman" w:hAnsi="Times New Roman" w:cs="Times New Roman"/>
          <w:sz w:val="24"/>
          <w:szCs w:val="24"/>
        </w:rPr>
        <w:t>. The adult subgroup contains 2 cohorts + 1 conference abstract (Saltarelli 2015 dominates the adult weight); the pediatric subgroup contains a single RCT (Kleidon 2025). Subgroup-by-effect interaction not statistically significant (p = 0.32) and severely underpowered.</w:t>
      </w:r>
    </w:p>
    <w:p w14:paraId="472AC865" w14:textId="45A0E6F6" w:rsidR="003C5087" w:rsidRDefault="00E2355C">
      <w:pPr>
        <w:rPr>
          <w:rFonts w:ascii="Times New Roman" w:hAnsi="Times New Roman" w:cs="Times New Roman"/>
          <w:color w:val="FF0000"/>
          <w:sz w:val="24"/>
          <w:szCs w:val="24"/>
        </w:rPr>
      </w:pPr>
      <w:r w:rsidRPr="00725F8B">
        <w:rPr>
          <w:rFonts w:ascii="Times New Roman" w:hAnsi="Times New Roman" w:cs="Times New Roman"/>
          <w:b/>
          <w:bCs/>
          <w:color w:val="FF0000"/>
          <w:sz w:val="24"/>
          <w:szCs w:val="24"/>
        </w:rPr>
        <w:t>Supplementary Figure 1.</w:t>
      </w:r>
      <w:r w:rsidRPr="00176099">
        <w:rPr>
          <w:rFonts w:ascii="Times New Roman" w:hAnsi="Times New Roman" w:cs="Times New Roman"/>
          <w:color w:val="FF0000"/>
          <w:sz w:val="24"/>
          <w:szCs w:val="24"/>
        </w:rPr>
        <w:t xml:space="preserve"> Forest plot: extravasation (USG vs landmark), not pooled (I² = 95.7%; Bridey 2018, Favot 2019, Nishizawa 2020). Presented as a supplementary figure because the populations and outcome definitions are statistically incompatible.</w:t>
      </w:r>
    </w:p>
    <w:p w14:paraId="6B0C63F6" w14:textId="77777777" w:rsidR="00725F8B" w:rsidRPr="007D7E76" w:rsidRDefault="00725F8B" w:rsidP="00725F8B">
      <w:pPr>
        <w:rPr>
          <w:rFonts w:ascii="Times New Roman" w:hAnsi="Times New Roman" w:cs="Times New Roman"/>
          <w:sz w:val="24"/>
          <w:szCs w:val="24"/>
        </w:rPr>
      </w:pPr>
      <w:r w:rsidRPr="00725F8B">
        <w:rPr>
          <w:rFonts w:ascii="Times New Roman" w:hAnsi="Times New Roman" w:cs="Times New Roman"/>
          <w:b/>
          <w:bCs/>
          <w:color w:val="FF0000"/>
          <w:sz w:val="24"/>
          <w:szCs w:val="24"/>
        </w:rPr>
        <w:t>Supplementary Figure 2.</w:t>
      </w:r>
      <w:r w:rsidRPr="007D7E76">
        <w:rPr>
          <w:rFonts w:ascii="Times New Roman" w:hAnsi="Times New Roman" w:cs="Times New Roman"/>
          <w:sz w:val="24"/>
          <w:szCs w:val="24"/>
        </w:rPr>
        <w:t xml:space="preserve"> Individual study estimates (NOT pooled) for catheter survival / premature removal:</w:t>
      </w:r>
      <w:r w:rsidRPr="00176099">
        <w:rPr>
          <w:rFonts w:ascii="Times New Roman" w:hAnsi="Times New Roman" w:cs="Times New Roman"/>
          <w:color w:val="FF0000"/>
          <w:sz w:val="24"/>
          <w:szCs w:val="24"/>
        </w:rPr>
        <w:t xml:space="preserve"> </w:t>
      </w:r>
      <w:proofErr w:type="spellStart"/>
      <w:r w:rsidRPr="00176099">
        <w:rPr>
          <w:rFonts w:ascii="Times New Roman" w:hAnsi="Times New Roman" w:cs="Times New Roman"/>
          <w:color w:val="FF0000"/>
          <w:sz w:val="24"/>
          <w:szCs w:val="24"/>
        </w:rPr>
        <w:t>Feinsmith</w:t>
      </w:r>
      <w:proofErr w:type="spellEnd"/>
      <w:r w:rsidRPr="00176099">
        <w:rPr>
          <w:rFonts w:ascii="Times New Roman" w:hAnsi="Times New Roman" w:cs="Times New Roman"/>
          <w:color w:val="FF0000"/>
          <w:sz w:val="24"/>
          <w:szCs w:val="24"/>
        </w:rPr>
        <w:t xml:space="preserve"> 2023</w:t>
      </w:r>
      <w:r w:rsidRPr="007D7E76">
        <w:rPr>
          <w:rFonts w:ascii="Times New Roman" w:hAnsi="Times New Roman" w:cs="Times New Roman"/>
          <w:sz w:val="24"/>
          <w:szCs w:val="24"/>
        </w:rPr>
        <w:t xml:space="preserve"> (adjusted HR from multivariable Cox model, 30-day follow-up) and </w:t>
      </w:r>
      <w:proofErr w:type="spellStart"/>
      <w:r w:rsidRPr="007D7E76">
        <w:rPr>
          <w:rFonts w:ascii="Times New Roman" w:hAnsi="Times New Roman" w:cs="Times New Roman"/>
          <w:sz w:val="24"/>
          <w:szCs w:val="24"/>
        </w:rPr>
        <w:t>Shokoohi</w:t>
      </w:r>
      <w:proofErr w:type="spellEnd"/>
      <w:r w:rsidRPr="007D7E76">
        <w:rPr>
          <w:rFonts w:ascii="Times New Roman" w:hAnsi="Times New Roman" w:cs="Times New Roman"/>
          <w:sz w:val="24"/>
          <w:szCs w:val="24"/>
        </w:rPr>
        <w:t xml:space="preserve"> 2019 (cumulative-incidence RR at fixed 72-hour follow-up). The pooled diamond is intentionally suppressed because HR and cumulative-incidence RR are conceptually different effect measures and pooling them on the log-HR scale would mix incompatible quantities.</w:t>
      </w:r>
    </w:p>
    <w:p w14:paraId="48C93BEA" w14:textId="77777777" w:rsidR="00725F8B" w:rsidRPr="00176099" w:rsidRDefault="00725F8B">
      <w:pPr>
        <w:rPr>
          <w:rFonts w:ascii="Times New Roman" w:hAnsi="Times New Roman" w:cs="Times New Roman"/>
          <w:color w:val="FF0000"/>
          <w:sz w:val="24"/>
          <w:szCs w:val="24"/>
        </w:rPr>
      </w:pPr>
    </w:p>
    <w:sectPr w:rsidR="00725F8B" w:rsidRPr="00176099" w:rsidSect="00AD37C2">
      <w:footerReference w:type="default" r:id="rId8"/>
      <w:pgSz w:w="12240" w:h="15840"/>
      <w:pgMar w:top="1440" w:right="1800" w:bottom="1440" w:left="1800" w:header="720" w:footer="720" w:gutter="0"/>
      <w:lnNumType w:countBy="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E6C757" w14:textId="77777777" w:rsidR="00B36EC3" w:rsidRDefault="00B36EC3" w:rsidP="00B43096">
      <w:pPr>
        <w:spacing w:after="0" w:line="240" w:lineRule="auto"/>
      </w:pPr>
      <w:r>
        <w:separator/>
      </w:r>
    </w:p>
  </w:endnote>
  <w:endnote w:type="continuationSeparator" w:id="0">
    <w:p w14:paraId="66B68432" w14:textId="77777777" w:rsidR="00B36EC3" w:rsidRDefault="00B36EC3" w:rsidP="00B430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MS Mincho">
    <w:altName w:val="ＭＳ 明朝"/>
    <w:panose1 w:val="02020609040205080304"/>
    <w:charset w:val="80"/>
    <w:family w:val="modern"/>
    <w:pitch w:val="fixed"/>
    <w:sig w:usb0="00000287" w:usb1="08070000" w:usb2="00000010"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00000287" w:usb1="08070000" w:usb2="00000010" w:usb3="00000000" w:csb0="0002009F" w:csb1="00000000"/>
  </w:font>
  <w:font w:name="Courier">
    <w:panose1 w:val="02070409020205020404"/>
    <w:charset w:val="00"/>
    <w:family w:val="auto"/>
    <w:pitch w:val="variable"/>
    <w:sig w:usb0="00000003" w:usb1="00000000" w:usb2="00000000" w:usb3="00000000" w:csb0="00000001" w:csb1="00000000"/>
  </w:font>
  <w:font w:name="微軟正黑體">
    <w:panose1 w:val="020B0604030504040204"/>
    <w:charset w:val="88"/>
    <w:family w:val="swiss"/>
    <w:pitch w:val="variable"/>
    <w:sig w:usb0="000002A7" w:usb1="28CF4400" w:usb2="00000016" w:usb3="00000000" w:csb0="00100009" w:csb1="00000000"/>
  </w:font>
  <w:font w:name="新細明體">
    <w:altName w:val="PMingLiU"/>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27220135"/>
      <w:docPartObj>
        <w:docPartGallery w:val="Page Numbers (Bottom of Page)"/>
        <w:docPartUnique/>
      </w:docPartObj>
    </w:sdtPr>
    <w:sdtEndPr/>
    <w:sdtContent>
      <w:p w14:paraId="18C3A728" w14:textId="38153A65" w:rsidR="00AD37C2" w:rsidRDefault="00AD37C2">
        <w:pPr>
          <w:pStyle w:val="a7"/>
          <w:jc w:val="center"/>
        </w:pPr>
        <w:r>
          <w:fldChar w:fldCharType="begin"/>
        </w:r>
        <w:r>
          <w:instrText>PAGE   \* MERGEFORMAT</w:instrText>
        </w:r>
        <w:r>
          <w:fldChar w:fldCharType="separate"/>
        </w:r>
        <w:r>
          <w:rPr>
            <w:lang w:val="zh-TW" w:eastAsia="zh-TW"/>
          </w:rPr>
          <w:t>2</w:t>
        </w:r>
        <w:r>
          <w:fldChar w:fldCharType="end"/>
        </w:r>
      </w:p>
    </w:sdtContent>
  </w:sdt>
  <w:p w14:paraId="29F7CF83" w14:textId="77777777" w:rsidR="00AD37C2" w:rsidRDefault="00AD37C2">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38E212" w14:textId="77777777" w:rsidR="00B36EC3" w:rsidRDefault="00B36EC3" w:rsidP="00B43096">
      <w:pPr>
        <w:spacing w:after="0" w:line="240" w:lineRule="auto"/>
      </w:pPr>
      <w:r>
        <w:separator/>
      </w:r>
    </w:p>
  </w:footnote>
  <w:footnote w:type="continuationSeparator" w:id="0">
    <w:p w14:paraId="1E7C986F" w14:textId="77777777" w:rsidR="00B36EC3" w:rsidRDefault="00B36EC3" w:rsidP="00B4309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0"/>
  <w:bordersDoNotSurroundHeader/>
  <w:bordersDoNotSurroundFooter/>
  <w:proofState w:spelling="clean" w:grammar="clean"/>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20A7"/>
    <w:rsid w:val="00014011"/>
    <w:rsid w:val="00034616"/>
    <w:rsid w:val="00041CCE"/>
    <w:rsid w:val="0006063C"/>
    <w:rsid w:val="001202B4"/>
    <w:rsid w:val="0015074B"/>
    <w:rsid w:val="00176099"/>
    <w:rsid w:val="001E2CC1"/>
    <w:rsid w:val="001F68B7"/>
    <w:rsid w:val="0029639D"/>
    <w:rsid w:val="00326F90"/>
    <w:rsid w:val="003C5087"/>
    <w:rsid w:val="004C190E"/>
    <w:rsid w:val="00725F8B"/>
    <w:rsid w:val="0073386A"/>
    <w:rsid w:val="00735826"/>
    <w:rsid w:val="0074236B"/>
    <w:rsid w:val="00756F10"/>
    <w:rsid w:val="0079769B"/>
    <w:rsid w:val="007D3156"/>
    <w:rsid w:val="007D7E76"/>
    <w:rsid w:val="00813578"/>
    <w:rsid w:val="0087013B"/>
    <w:rsid w:val="00976803"/>
    <w:rsid w:val="00A95796"/>
    <w:rsid w:val="00AA1D8D"/>
    <w:rsid w:val="00AD37C2"/>
    <w:rsid w:val="00AE2C82"/>
    <w:rsid w:val="00B36EC3"/>
    <w:rsid w:val="00B43096"/>
    <w:rsid w:val="00B47730"/>
    <w:rsid w:val="00CB0664"/>
    <w:rsid w:val="00D909AA"/>
    <w:rsid w:val="00E061A3"/>
    <w:rsid w:val="00E2355C"/>
    <w:rsid w:val="00E50A11"/>
    <w:rsid w:val="00EE1EC5"/>
    <w:rsid w:val="00F0575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CABFD98"/>
  <w14:defaultImageDpi w14:val="300"/>
  <w15:docId w15:val="{228D2CA0-1926-4523-BE97-555A3FDB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頁首 字元"/>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頁尾 字元"/>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標題 1 字元"/>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標題 2 字元"/>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標題 3 字元"/>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標題 字元"/>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標題 字元"/>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字元"/>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字元"/>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字元"/>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巨集文字 字元"/>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文 字元"/>
    <w:basedOn w:val="a2"/>
    <w:link w:val="af5"/>
    <w:uiPriority w:val="29"/>
    <w:rsid w:val="00FC693F"/>
    <w:rPr>
      <w:i/>
      <w:iCs/>
      <w:color w:val="000000" w:themeColor="text1"/>
    </w:rPr>
  </w:style>
  <w:style w:type="character" w:customStyle="1" w:styleId="40">
    <w:name w:val="標題 4 字元"/>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標題 5 字元"/>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標題 6 字元"/>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標題 7 字元"/>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標題 8 字元"/>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標題 9 字元"/>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鮮明引文 字元"/>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a">
    <w:name w:val="line number"/>
    <w:basedOn w:val="a2"/>
    <w:uiPriority w:val="99"/>
    <w:semiHidden/>
    <w:unhideWhenUsed/>
    <w:rsid w:val="00AD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TotalTime>
  <Pages>24</Pages>
  <Words>8314</Words>
  <Characters>47394</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55597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陳柏銘</cp:lastModifiedBy>
  <cp:revision>18</cp:revision>
  <dcterms:created xsi:type="dcterms:W3CDTF">2026-06-08T02:10:00Z</dcterms:created>
  <dcterms:modified xsi:type="dcterms:W3CDTF">2026-06-08T09:12:00Z</dcterms:modified>
  <cp:category/>
</cp:coreProperties>
</file>