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96F53" w14:textId="78798BC2" w:rsidR="00251443" w:rsidRPr="00814070" w:rsidRDefault="00721877" w:rsidP="00251443">
      <w:pPr>
        <w:spacing w:after="120" w:line="360" w:lineRule="auto"/>
        <w:ind w:firstLineChars="3100" w:firstLine="7447"/>
        <w:rPr>
          <w:rFonts w:eastAsia="Times New Roman"/>
          <w:b/>
          <w:bCs/>
        </w:rPr>
      </w:pPr>
      <w:r w:rsidRPr="00814070">
        <w:rPr>
          <w:rFonts w:eastAsia="新細明體"/>
          <w:b/>
          <w:bCs/>
        </w:rPr>
        <w:t>May</w:t>
      </w:r>
      <w:r w:rsidR="00251443" w:rsidRPr="00814070">
        <w:rPr>
          <w:rFonts w:eastAsia="新細明體"/>
          <w:b/>
          <w:bCs/>
        </w:rPr>
        <w:t xml:space="preserve"> </w:t>
      </w:r>
      <w:r w:rsidRPr="00814070">
        <w:rPr>
          <w:rFonts w:eastAsia="新細明體"/>
          <w:b/>
          <w:bCs/>
        </w:rPr>
        <w:t>0</w:t>
      </w:r>
      <w:r w:rsidR="004C714B">
        <w:rPr>
          <w:rFonts w:eastAsia="新細明體"/>
          <w:b/>
          <w:bCs/>
        </w:rPr>
        <w:t>5</w:t>
      </w:r>
      <w:r w:rsidR="00251443" w:rsidRPr="00814070">
        <w:rPr>
          <w:rFonts w:eastAsia="新細明體"/>
          <w:b/>
          <w:bCs/>
        </w:rPr>
        <w:t>, 2026</w:t>
      </w:r>
    </w:p>
    <w:p w14:paraId="6E2BCE9B" w14:textId="4FA4393A" w:rsidR="00251443" w:rsidRPr="00814070" w:rsidRDefault="00251443" w:rsidP="00251443">
      <w:pPr>
        <w:spacing w:after="120" w:line="360" w:lineRule="auto"/>
        <w:rPr>
          <w:b/>
          <w:bCs/>
        </w:rPr>
      </w:pPr>
      <w:r w:rsidRPr="00814070">
        <w:rPr>
          <w:rFonts w:eastAsia="Times New Roman"/>
          <w:b/>
          <w:bCs/>
        </w:rPr>
        <w:t xml:space="preserve">Editor-in-Chief </w:t>
      </w:r>
      <w:proofErr w:type="gramStart"/>
      <w:r w:rsidR="00A51CF1" w:rsidRPr="00A51CF1">
        <w:rPr>
          <w:rFonts w:eastAsia="Times New Roman"/>
          <w:b/>
          <w:bCs/>
        </w:rPr>
        <w:t>The</w:t>
      </w:r>
      <w:proofErr w:type="gramEnd"/>
      <w:r w:rsidR="00A51CF1" w:rsidRPr="00A51CF1">
        <w:rPr>
          <w:rFonts w:eastAsia="Times New Roman"/>
          <w:b/>
          <w:bCs/>
        </w:rPr>
        <w:t xml:space="preserve"> Ultrasound Journal BioMed Central / Springer Nature</w:t>
      </w:r>
    </w:p>
    <w:p w14:paraId="5F329C6D" w14:textId="5338CE30" w:rsidR="00251443" w:rsidRPr="00814070" w:rsidRDefault="00251443" w:rsidP="00251443">
      <w:pPr>
        <w:spacing w:after="120" w:line="360" w:lineRule="auto"/>
      </w:pPr>
      <w:r w:rsidRPr="00EA4505">
        <w:rPr>
          <w:rFonts w:eastAsia="Times New Roman"/>
        </w:rPr>
        <w:t>Dear Editor-in-Chief:</w:t>
      </w:r>
    </w:p>
    <w:p w14:paraId="3BD9B86D" w14:textId="64CE528E" w:rsidR="00A51CF1" w:rsidRPr="00A51CF1" w:rsidRDefault="00A51CF1" w:rsidP="00A51CF1">
      <w:pPr>
        <w:spacing w:after="120" w:line="360" w:lineRule="auto"/>
        <w:rPr>
          <w:rFonts w:eastAsia="Times New Roman"/>
        </w:rPr>
      </w:pPr>
      <w:r w:rsidRPr="00A51CF1">
        <w:rPr>
          <w:rFonts w:eastAsia="Times New Roman"/>
        </w:rPr>
        <w:t>We are pleased to submit our manuscript entitled “</w:t>
      </w:r>
      <w:proofErr w:type="gramStart"/>
      <w:r w:rsidR="005C66D9" w:rsidRPr="005C66D9">
        <w:rPr>
          <w:rFonts w:eastAsia="Times New Roman"/>
          <w:b/>
          <w:bCs/>
        </w:rPr>
        <w:t>Post-insertion</w:t>
      </w:r>
      <w:proofErr w:type="gramEnd"/>
      <w:r w:rsidR="005C66D9" w:rsidRPr="005C66D9">
        <w:rPr>
          <w:rFonts w:eastAsia="Times New Roman"/>
          <w:b/>
          <w:bCs/>
        </w:rPr>
        <w:t xml:space="preserve"> outcomes of ultrasound-guided versus landmark peripheral intravenous catheters: a systematic review and meta-analysis</w:t>
      </w:r>
      <w:r w:rsidRPr="00A51CF1">
        <w:rPr>
          <w:rFonts w:eastAsia="Times New Roman"/>
        </w:rPr>
        <w:t>” for consideration for publication in The Ultrasound Journal.</w:t>
      </w:r>
    </w:p>
    <w:p w14:paraId="2A84F767" w14:textId="77777777" w:rsidR="00A51CF1" w:rsidRPr="00A51CF1" w:rsidRDefault="00A51CF1" w:rsidP="00A51CF1">
      <w:pPr>
        <w:spacing w:after="120" w:line="360" w:lineRule="auto"/>
        <w:rPr>
          <w:rFonts w:eastAsia="Times New Roman"/>
        </w:rPr>
      </w:pPr>
      <w:r w:rsidRPr="00A51CF1">
        <w:rPr>
          <w:rFonts w:eastAsia="Times New Roman"/>
        </w:rPr>
        <w:t>Ultrasound-guided peripheral intravenous catheter (USG-PIVC) insertion has been widely adopted to improve cannulation success, particularly in patients with difficult intravenous access. Multiple systematic reviews have established its insertion benefits. However, no prior systematic review has specifically evaluated whether USG confers any advantage in post-insertion outcomes – including catheter failure, dwell time, and complications such as infiltration and extravasation.</w:t>
      </w:r>
    </w:p>
    <w:p w14:paraId="4A140109" w14:textId="77777777" w:rsidR="00A51CF1" w:rsidRPr="00A51CF1" w:rsidRDefault="00A51CF1" w:rsidP="00A51CF1">
      <w:pPr>
        <w:spacing w:after="120" w:line="360" w:lineRule="auto"/>
        <w:rPr>
          <w:rFonts w:eastAsia="Times New Roman"/>
        </w:rPr>
      </w:pPr>
      <w:r w:rsidRPr="00A51CF1">
        <w:rPr>
          <w:rFonts w:eastAsia="Times New Roman"/>
        </w:rPr>
        <w:t>Our systematic review and meta-analysis of 14 studies (5 RCTs, 9 cohort studies; 78,209 participants) across four databases reveals three key findings of direct relevance to the ultrasound community:</w:t>
      </w:r>
    </w:p>
    <w:p w14:paraId="7C788F35" w14:textId="77777777" w:rsidR="00A51CF1" w:rsidRPr="00A51CF1" w:rsidRDefault="00A51CF1" w:rsidP="00A51CF1">
      <w:pPr>
        <w:spacing w:after="120" w:line="360" w:lineRule="auto"/>
        <w:rPr>
          <w:rFonts w:eastAsia="Times New Roman"/>
        </w:rPr>
      </w:pPr>
      <w:r w:rsidRPr="00A51CF1">
        <w:rPr>
          <w:rFonts w:eastAsia="Times New Roman"/>
        </w:rPr>
        <w:t>1.</w:t>
      </w:r>
      <w:r w:rsidRPr="00A51CF1">
        <w:rPr>
          <w:rFonts w:eastAsia="Times New Roman"/>
        </w:rPr>
        <w:tab/>
        <w:t xml:space="preserve">USG does not improve post-insertion catheter outcomes compared with landmark placement (catheter failure RR 1.23, 95% CI 1.00–1.51; dwell time results heterogeneous and </w:t>
      </w:r>
      <w:proofErr w:type="spellStart"/>
      <w:r w:rsidRPr="00A51CF1">
        <w:rPr>
          <w:rFonts w:eastAsia="Times New Roman"/>
        </w:rPr>
        <w:t>unpoolable</w:t>
      </w:r>
      <w:proofErr w:type="spellEnd"/>
      <w:r w:rsidRPr="00A51CF1">
        <w:rPr>
          <w:rFonts w:eastAsia="Times New Roman"/>
        </w:rPr>
        <w:t>, I²=91.9%).</w:t>
      </w:r>
    </w:p>
    <w:p w14:paraId="381AD565" w14:textId="77777777" w:rsidR="00A51CF1" w:rsidRPr="00A51CF1" w:rsidRDefault="00A51CF1" w:rsidP="00A51CF1">
      <w:pPr>
        <w:spacing w:after="120" w:line="360" w:lineRule="auto"/>
        <w:rPr>
          <w:rFonts w:eastAsia="Times New Roman"/>
        </w:rPr>
      </w:pPr>
      <w:r w:rsidRPr="00A51CF1">
        <w:rPr>
          <w:rFonts w:eastAsia="Times New Roman"/>
        </w:rPr>
        <w:t>2.</w:t>
      </w:r>
      <w:r w:rsidRPr="00A51CF1">
        <w:rPr>
          <w:rFonts w:eastAsia="Times New Roman"/>
        </w:rPr>
        <w:tab/>
        <w:t>Catheter length, not ultrasound guidance, appears to be the primary determinant of post-insertion catheter performance. Studies reporting favorable USG outcomes were confounded by the use of systematically longer catheters in the USG group – a finding with important implications for catheter selection when targeting deeper vessels under ultrasound guidance.</w:t>
      </w:r>
    </w:p>
    <w:p w14:paraId="78796851" w14:textId="77777777" w:rsidR="00A51CF1" w:rsidRPr="00A51CF1" w:rsidRDefault="00A51CF1" w:rsidP="00A51CF1">
      <w:pPr>
        <w:spacing w:after="120" w:line="360" w:lineRule="auto"/>
        <w:rPr>
          <w:rFonts w:eastAsia="Times New Roman"/>
        </w:rPr>
      </w:pPr>
      <w:r w:rsidRPr="00A51CF1">
        <w:rPr>
          <w:rFonts w:eastAsia="Times New Roman"/>
        </w:rPr>
        <w:t>3.</w:t>
      </w:r>
      <w:r w:rsidRPr="00A51CF1">
        <w:rPr>
          <w:rFonts w:eastAsia="Times New Roman"/>
        </w:rPr>
        <w:tab/>
        <w:t>Extravasation may represent a safety concern with USG-placed PIVCs, particularly during high-pressure contrast injection, likely related to the biomechanical mismatch between standard-length catheters and deeper vessels accessed under ultrasound.</w:t>
      </w:r>
    </w:p>
    <w:p w14:paraId="64A3E974" w14:textId="77777777" w:rsidR="00A51CF1" w:rsidRPr="00A51CF1" w:rsidRDefault="00A51CF1" w:rsidP="00A51CF1">
      <w:pPr>
        <w:spacing w:after="120" w:line="360" w:lineRule="auto"/>
        <w:rPr>
          <w:rFonts w:eastAsia="Times New Roman"/>
        </w:rPr>
      </w:pPr>
      <w:r w:rsidRPr="00A51CF1">
        <w:rPr>
          <w:rFonts w:eastAsia="Times New Roman"/>
        </w:rPr>
        <w:t>These findings challenge the common assumption that insertion success translates to catheter longevity, and provide actionable guidance for clinicians who use point-of-care ultrasound for vascular access.</w:t>
      </w:r>
    </w:p>
    <w:p w14:paraId="7F3FF50F" w14:textId="77777777" w:rsidR="00A51CF1" w:rsidRPr="00A51CF1" w:rsidRDefault="00A51CF1" w:rsidP="00A51CF1">
      <w:pPr>
        <w:spacing w:after="120" w:line="360" w:lineRule="auto"/>
        <w:rPr>
          <w:rFonts w:eastAsia="Times New Roman"/>
        </w:rPr>
      </w:pPr>
      <w:r w:rsidRPr="00A51CF1">
        <w:rPr>
          <w:rFonts w:eastAsia="Times New Roman"/>
        </w:rPr>
        <w:t xml:space="preserve">This manuscript has not been published previously and is not under consideration by any other journal. The study was prospectively registered in PROSPERO (CRD420261354170) and follows PRISMA 2020 guidelines. All authors have read and approved the manuscript. </w:t>
      </w:r>
      <w:r w:rsidRPr="00A51CF1">
        <w:rPr>
          <w:rFonts w:eastAsia="Times New Roman"/>
        </w:rPr>
        <w:lastRenderedPageBreak/>
        <w:t>We have no conflicts of interest to declare.</w:t>
      </w:r>
    </w:p>
    <w:p w14:paraId="53A92C32" w14:textId="77777777" w:rsidR="00A51CF1" w:rsidRPr="00A51CF1" w:rsidRDefault="00A51CF1" w:rsidP="00A51CF1">
      <w:pPr>
        <w:spacing w:after="120" w:line="360" w:lineRule="auto"/>
        <w:rPr>
          <w:rFonts w:eastAsia="Times New Roman"/>
        </w:rPr>
      </w:pPr>
      <w:r w:rsidRPr="00A51CF1">
        <w:rPr>
          <w:rFonts w:eastAsia="Times New Roman"/>
        </w:rPr>
        <w:t>We believe this work is well suited for The Ultrasound Journal given its focus on clinical applications of point-of-care ultrasound and its readership of clinicians who routinely perform USG-PIVC insertion.</w:t>
      </w:r>
    </w:p>
    <w:p w14:paraId="1C115BCC" w14:textId="77777777" w:rsidR="00A51CF1" w:rsidRPr="00A51CF1" w:rsidRDefault="00A51CF1" w:rsidP="00A51CF1">
      <w:pPr>
        <w:spacing w:after="120" w:line="360" w:lineRule="auto"/>
        <w:rPr>
          <w:rFonts w:eastAsia="Times New Roman"/>
        </w:rPr>
      </w:pPr>
      <w:r w:rsidRPr="00A51CF1">
        <w:rPr>
          <w:rFonts w:eastAsia="Times New Roman"/>
        </w:rPr>
        <w:t>Thank you for your consideration.</w:t>
      </w:r>
    </w:p>
    <w:p w14:paraId="00235A85" w14:textId="4AB2C33B" w:rsidR="009F012F" w:rsidRPr="00EA4505" w:rsidRDefault="008D1C8B" w:rsidP="00A51CF1">
      <w:pPr>
        <w:spacing w:after="120" w:line="360" w:lineRule="auto"/>
      </w:pPr>
      <w:r w:rsidRPr="00EA4505">
        <w:rPr>
          <w:rFonts w:eastAsia="Times New Roman"/>
        </w:rPr>
        <w:t>Sincerely,</w:t>
      </w:r>
    </w:p>
    <w:p w14:paraId="675448A0" w14:textId="77777777" w:rsidR="009F012F" w:rsidRPr="00EA4505" w:rsidRDefault="008D1C8B">
      <w:pPr>
        <w:spacing w:after="120" w:line="360" w:lineRule="auto"/>
      </w:pPr>
      <w:r w:rsidRPr="00EA4505">
        <w:rPr>
          <w:rFonts w:eastAsia="Times New Roman"/>
        </w:rPr>
        <w:t>Chia-Ching Chen, MD</w:t>
      </w:r>
    </w:p>
    <w:p w14:paraId="277317B1" w14:textId="77777777" w:rsidR="009F012F" w:rsidRPr="00EA4505" w:rsidRDefault="008D1C8B">
      <w:pPr>
        <w:spacing w:after="120" w:line="360" w:lineRule="auto"/>
      </w:pPr>
      <w:r w:rsidRPr="00EA4505">
        <w:rPr>
          <w:rFonts w:eastAsia="Times New Roman"/>
        </w:rPr>
        <w:t>Department of Emergency Medicine</w:t>
      </w:r>
    </w:p>
    <w:p w14:paraId="0560A2F1" w14:textId="77777777" w:rsidR="009F012F" w:rsidRPr="00EA4505" w:rsidRDefault="008D1C8B">
      <w:pPr>
        <w:spacing w:after="120" w:line="360" w:lineRule="auto"/>
      </w:pPr>
      <w:r w:rsidRPr="00EA4505">
        <w:rPr>
          <w:rFonts w:eastAsia="Times New Roman"/>
        </w:rPr>
        <w:t>Chang Bing Show-</w:t>
      </w:r>
      <w:proofErr w:type="spellStart"/>
      <w:r w:rsidRPr="00EA4505">
        <w:rPr>
          <w:rFonts w:eastAsia="Times New Roman"/>
        </w:rPr>
        <w:t>Chwan</w:t>
      </w:r>
      <w:proofErr w:type="spellEnd"/>
      <w:r w:rsidRPr="00EA4505">
        <w:rPr>
          <w:rFonts w:eastAsia="Times New Roman"/>
        </w:rPr>
        <w:t xml:space="preserve"> Memorial Hospital</w:t>
      </w:r>
    </w:p>
    <w:p w14:paraId="6757AF85" w14:textId="77777777" w:rsidR="009F012F" w:rsidRPr="00EA4505" w:rsidRDefault="008D1C8B">
      <w:pPr>
        <w:spacing w:after="120" w:line="360" w:lineRule="auto"/>
      </w:pPr>
      <w:r w:rsidRPr="00EA4505">
        <w:rPr>
          <w:rFonts w:eastAsia="Times New Roman"/>
        </w:rPr>
        <w:t xml:space="preserve">No. 6 </w:t>
      </w:r>
      <w:proofErr w:type="spellStart"/>
      <w:r w:rsidRPr="00EA4505">
        <w:rPr>
          <w:rFonts w:eastAsia="Times New Roman"/>
        </w:rPr>
        <w:t>Lugong</w:t>
      </w:r>
      <w:proofErr w:type="spellEnd"/>
      <w:r w:rsidRPr="00EA4505">
        <w:rPr>
          <w:rFonts w:eastAsia="Times New Roman"/>
        </w:rPr>
        <w:t xml:space="preserve"> Rd. </w:t>
      </w:r>
      <w:proofErr w:type="spellStart"/>
      <w:r w:rsidRPr="00EA4505">
        <w:rPr>
          <w:rFonts w:eastAsia="Times New Roman"/>
        </w:rPr>
        <w:t>Lukang</w:t>
      </w:r>
      <w:proofErr w:type="spellEnd"/>
      <w:r w:rsidRPr="00EA4505">
        <w:rPr>
          <w:rFonts w:eastAsia="Times New Roman"/>
        </w:rPr>
        <w:t xml:space="preserve"> Zhen, Changhua County, Taiwan, R.O.C.</w:t>
      </w:r>
    </w:p>
    <w:p w14:paraId="29F57575" w14:textId="77777777" w:rsidR="009F012F" w:rsidRPr="00EA4505" w:rsidRDefault="008D1C8B">
      <w:pPr>
        <w:spacing w:after="120" w:line="360" w:lineRule="auto"/>
      </w:pPr>
      <w:r w:rsidRPr="00EA4505">
        <w:rPr>
          <w:rFonts w:eastAsia="Times New Roman"/>
        </w:rPr>
        <w:t xml:space="preserve">Tel: +886-4-7813888 </w:t>
      </w:r>
      <w:proofErr w:type="spellStart"/>
      <w:r w:rsidRPr="00EA4505">
        <w:rPr>
          <w:rFonts w:eastAsia="Times New Roman"/>
        </w:rPr>
        <w:t>ext</w:t>
      </w:r>
      <w:proofErr w:type="spellEnd"/>
      <w:r w:rsidRPr="00EA4505">
        <w:rPr>
          <w:rFonts w:eastAsia="Times New Roman"/>
        </w:rPr>
        <w:t>: 71297</w:t>
      </w:r>
    </w:p>
    <w:p w14:paraId="48A7D1CF" w14:textId="77777777" w:rsidR="009F012F" w:rsidRPr="00EA4505" w:rsidRDefault="008D1C8B">
      <w:pPr>
        <w:spacing w:after="120" w:line="360" w:lineRule="auto"/>
      </w:pPr>
      <w:r w:rsidRPr="00EA4505">
        <w:rPr>
          <w:rFonts w:eastAsia="Times New Roman"/>
        </w:rPr>
        <w:t>E-mail: medilife.c11g@gmail.com</w:t>
      </w:r>
    </w:p>
    <w:sectPr w:rsidR="009F012F" w:rsidRPr="00EA450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D6F05" w14:textId="77777777" w:rsidR="00DA71F1" w:rsidRDefault="00DA71F1" w:rsidP="00FE4798">
      <w:r>
        <w:separator/>
      </w:r>
    </w:p>
  </w:endnote>
  <w:endnote w:type="continuationSeparator" w:id="0">
    <w:p w14:paraId="515ED6A3" w14:textId="77777777" w:rsidR="00DA71F1" w:rsidRDefault="00DA71F1" w:rsidP="00FE4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F6E48" w14:textId="77777777" w:rsidR="00DA71F1" w:rsidRDefault="00DA71F1" w:rsidP="00FE4798">
      <w:r>
        <w:separator/>
      </w:r>
    </w:p>
  </w:footnote>
  <w:footnote w:type="continuationSeparator" w:id="0">
    <w:p w14:paraId="31E64A51" w14:textId="77777777" w:rsidR="00DA71F1" w:rsidRDefault="00DA71F1" w:rsidP="00FE4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53BE3"/>
    <w:multiLevelType w:val="hybridMultilevel"/>
    <w:tmpl w:val="5E42A3D4"/>
    <w:lvl w:ilvl="0" w:tplc="A7CA9FE2">
      <w:start w:val="1"/>
      <w:numFmt w:val="bullet"/>
      <w:lvlText w:val="●"/>
      <w:lvlJc w:val="left"/>
      <w:pPr>
        <w:ind w:left="720" w:hanging="360"/>
      </w:pPr>
    </w:lvl>
    <w:lvl w:ilvl="1" w:tplc="3286D03E">
      <w:start w:val="1"/>
      <w:numFmt w:val="bullet"/>
      <w:lvlText w:val="○"/>
      <w:lvlJc w:val="left"/>
      <w:pPr>
        <w:ind w:left="1440" w:hanging="360"/>
      </w:pPr>
    </w:lvl>
    <w:lvl w:ilvl="2" w:tplc="7BBAF2CC">
      <w:start w:val="1"/>
      <w:numFmt w:val="bullet"/>
      <w:lvlText w:val="■"/>
      <w:lvlJc w:val="left"/>
      <w:pPr>
        <w:ind w:left="2160" w:hanging="360"/>
      </w:pPr>
    </w:lvl>
    <w:lvl w:ilvl="3" w:tplc="31340F90">
      <w:start w:val="1"/>
      <w:numFmt w:val="bullet"/>
      <w:lvlText w:val="●"/>
      <w:lvlJc w:val="left"/>
      <w:pPr>
        <w:ind w:left="2880" w:hanging="360"/>
      </w:pPr>
    </w:lvl>
    <w:lvl w:ilvl="4" w:tplc="6A3ACEE4">
      <w:start w:val="1"/>
      <w:numFmt w:val="bullet"/>
      <w:lvlText w:val="○"/>
      <w:lvlJc w:val="left"/>
      <w:pPr>
        <w:ind w:left="3600" w:hanging="360"/>
      </w:pPr>
    </w:lvl>
    <w:lvl w:ilvl="5" w:tplc="B4C69856">
      <w:start w:val="1"/>
      <w:numFmt w:val="bullet"/>
      <w:lvlText w:val="■"/>
      <w:lvlJc w:val="left"/>
      <w:pPr>
        <w:ind w:left="4320" w:hanging="360"/>
      </w:pPr>
    </w:lvl>
    <w:lvl w:ilvl="6" w:tplc="8F0091D4">
      <w:start w:val="1"/>
      <w:numFmt w:val="bullet"/>
      <w:lvlText w:val="●"/>
      <w:lvlJc w:val="left"/>
      <w:pPr>
        <w:ind w:left="5040" w:hanging="360"/>
      </w:pPr>
    </w:lvl>
    <w:lvl w:ilvl="7" w:tplc="E78C8CA2">
      <w:start w:val="1"/>
      <w:numFmt w:val="bullet"/>
      <w:lvlText w:val="●"/>
      <w:lvlJc w:val="left"/>
      <w:pPr>
        <w:ind w:left="5760" w:hanging="360"/>
      </w:pPr>
    </w:lvl>
    <w:lvl w:ilvl="8" w:tplc="86C4A5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8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2F"/>
    <w:rsid w:val="00251443"/>
    <w:rsid w:val="002E7D3E"/>
    <w:rsid w:val="004057BD"/>
    <w:rsid w:val="004A481C"/>
    <w:rsid w:val="004C43F6"/>
    <w:rsid w:val="004C714B"/>
    <w:rsid w:val="005A42A0"/>
    <w:rsid w:val="005C66D9"/>
    <w:rsid w:val="00721877"/>
    <w:rsid w:val="00814070"/>
    <w:rsid w:val="008D1C8B"/>
    <w:rsid w:val="008D3325"/>
    <w:rsid w:val="009F012F"/>
    <w:rsid w:val="00A51CF1"/>
    <w:rsid w:val="00AC15FB"/>
    <w:rsid w:val="00AE1D70"/>
    <w:rsid w:val="00C51508"/>
    <w:rsid w:val="00CE4C5B"/>
    <w:rsid w:val="00D61BBF"/>
    <w:rsid w:val="00DA71F1"/>
    <w:rsid w:val="00EA4505"/>
    <w:rsid w:val="00FE4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1E2E8"/>
  <w15:docId w15:val="{B33E954A-F310-4B74-8E5C-B5AF5E93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FE4798"/>
    <w:pPr>
      <w:tabs>
        <w:tab w:val="center" w:pos="4153"/>
        <w:tab w:val="right" w:pos="8306"/>
      </w:tabs>
      <w:snapToGrid w:val="0"/>
    </w:pPr>
    <w:rPr>
      <w:sz w:val="20"/>
      <w:szCs w:val="20"/>
    </w:rPr>
  </w:style>
  <w:style w:type="character" w:customStyle="1" w:styleId="aa">
    <w:name w:val="頁首 字元"/>
    <w:basedOn w:val="a0"/>
    <w:link w:val="a9"/>
    <w:uiPriority w:val="99"/>
    <w:rsid w:val="00FE4798"/>
    <w:rPr>
      <w:sz w:val="20"/>
      <w:szCs w:val="20"/>
    </w:rPr>
  </w:style>
  <w:style w:type="paragraph" w:styleId="ab">
    <w:name w:val="footer"/>
    <w:basedOn w:val="a"/>
    <w:link w:val="ac"/>
    <w:uiPriority w:val="99"/>
    <w:unhideWhenUsed/>
    <w:rsid w:val="00FE4798"/>
    <w:pPr>
      <w:tabs>
        <w:tab w:val="center" w:pos="4153"/>
        <w:tab w:val="right" w:pos="8306"/>
      </w:tabs>
      <w:snapToGrid w:val="0"/>
    </w:pPr>
    <w:rPr>
      <w:sz w:val="20"/>
      <w:szCs w:val="20"/>
    </w:rPr>
  </w:style>
  <w:style w:type="character" w:customStyle="1" w:styleId="ac">
    <w:name w:val="頁尾 字元"/>
    <w:basedOn w:val="a0"/>
    <w:link w:val="ab"/>
    <w:uiPriority w:val="99"/>
    <w:rsid w:val="00FE479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陳柏銘</cp:lastModifiedBy>
  <cp:revision>7</cp:revision>
  <dcterms:created xsi:type="dcterms:W3CDTF">2026-05-05T11:39:00Z</dcterms:created>
  <dcterms:modified xsi:type="dcterms:W3CDTF">2026-05-05T12:40:00Z</dcterms:modified>
</cp:coreProperties>
</file>