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37EC0" w14:textId="0FAA4279" w:rsidR="008003BB" w:rsidRPr="00D440D8" w:rsidRDefault="008003BB" w:rsidP="008003BB">
      <w:pPr>
        <w:rPr>
          <w:rFonts w:ascii="Times New Roman" w:hAnsi="Times New Roman" w:cs="Times New Roman"/>
          <w:b/>
          <w:bCs/>
        </w:rPr>
      </w:pPr>
      <w:bookmarkStart w:id="0" w:name="X12201634808c96827ef981f76fa44555a86bcbb"/>
      <w:r w:rsidRPr="00D440D8">
        <w:rPr>
          <w:rFonts w:ascii="Times New Roman" w:hAnsi="Times New Roman" w:cs="Times New Roman"/>
          <w:b/>
          <w:bCs/>
        </w:rPr>
        <w:t>Supplementary Material S</w:t>
      </w:r>
      <w:r w:rsidR="00942775">
        <w:rPr>
          <w:rFonts w:ascii="Times New Roman" w:hAnsi="Times New Roman" w:cs="Times New Roman"/>
          <w:b/>
          <w:bCs/>
        </w:rPr>
        <w:t>3</w:t>
      </w:r>
      <w:r w:rsidRPr="00D440D8">
        <w:rPr>
          <w:rFonts w:ascii="Times New Roman" w:hAnsi="Times New Roman" w:cs="Times New Roman"/>
          <w:b/>
          <w:bCs/>
        </w:rPr>
        <w:t>: List of Studies Excluded at Full-Text Stage with Reasons</w:t>
      </w:r>
    </w:p>
    <w:p w14:paraId="0092338B" w14:textId="77777777" w:rsidR="008003BB" w:rsidRPr="00D440D8" w:rsidRDefault="008003BB" w:rsidP="008003BB">
      <w:pPr>
        <w:rPr>
          <w:rFonts w:ascii="Times New Roman" w:hAnsi="Times New Roman" w:cs="Times New Roman"/>
          <w:b/>
          <w:bCs/>
        </w:rPr>
      </w:pPr>
      <w:bookmarkStart w:id="1" w:name="X313b398c10fd63f9473a36532de7b24dabae152"/>
      <w:r w:rsidRPr="00D440D8">
        <w:rPr>
          <w:rFonts w:ascii="Times New Roman" w:hAnsi="Times New Roman" w:cs="Times New Roman"/>
          <w:b/>
          <w:bCs/>
        </w:rPr>
        <w:t>Studies excluded after full-text review (n = 5)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64"/>
        <w:gridCol w:w="1551"/>
        <w:gridCol w:w="4653"/>
        <w:gridCol w:w="1772"/>
      </w:tblGrid>
      <w:tr w:rsidR="008003BB" w:rsidRPr="008003BB" w14:paraId="789F4DED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9" w:type="dxa"/>
          </w:tcPr>
          <w:p w14:paraId="03CFF9EC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421" w:type="dxa"/>
          </w:tcPr>
          <w:p w14:paraId="5CB37C78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4264" w:type="dxa"/>
          </w:tcPr>
          <w:p w14:paraId="6CBAF399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Reason for Exclusion</w:t>
            </w:r>
          </w:p>
        </w:tc>
        <w:tc>
          <w:tcPr>
            <w:tcW w:w="1624" w:type="dxa"/>
          </w:tcPr>
          <w:p w14:paraId="5B2013A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Detail</w:t>
            </w:r>
          </w:p>
        </w:tc>
      </w:tr>
      <w:tr w:rsidR="008003BB" w:rsidRPr="008003BB" w14:paraId="1BE0BE41" w14:textId="77777777" w:rsidTr="00472CF5">
        <w:tc>
          <w:tcPr>
            <w:tcW w:w="609" w:type="dxa"/>
          </w:tcPr>
          <w:p w14:paraId="127D6FE4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21" w:type="dxa"/>
          </w:tcPr>
          <w:p w14:paraId="713A3BCB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Malik A et al. (2023) “Outcomes of Ultrasound Guided Peripheral Intravenous Catheters Placed in the Emergency Department and Factors Associated with Survival.” </w:t>
            </w:r>
            <w:r w:rsidRPr="008003BB">
              <w:rPr>
                <w:rFonts w:ascii="Times New Roman" w:hAnsi="Times New Roman" w:cs="Times New Roman"/>
                <w:i/>
                <w:iCs/>
              </w:rPr>
              <w:t>Open Access Emergency Medicine</w:t>
            </w:r>
            <w:r w:rsidRPr="008003B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264" w:type="dxa"/>
          </w:tcPr>
          <w:p w14:paraId="6214BCE7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Single-arm study, no comparator</w:t>
            </w:r>
          </w:p>
        </w:tc>
        <w:tc>
          <w:tcPr>
            <w:tcW w:w="1624" w:type="dxa"/>
          </w:tcPr>
          <w:p w14:paraId="509FC1F5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Descriptive study of 388 USIV placements only; no landmark/palpation comparison group. Does not meet inclusion criterion #1.</w:t>
            </w:r>
          </w:p>
        </w:tc>
      </w:tr>
      <w:tr w:rsidR="008003BB" w:rsidRPr="008003BB" w14:paraId="1C52C27D" w14:textId="77777777" w:rsidTr="00472CF5">
        <w:tc>
          <w:tcPr>
            <w:tcW w:w="609" w:type="dxa"/>
          </w:tcPr>
          <w:p w14:paraId="17EF8CD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21" w:type="dxa"/>
          </w:tcPr>
          <w:p w14:paraId="5BFA1985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Avelar AF et al. (2013) “Assertiveness and dwell times with USG in children.”</w:t>
            </w:r>
          </w:p>
        </w:tc>
        <w:tc>
          <w:tcPr>
            <w:tcW w:w="4264" w:type="dxa"/>
          </w:tcPr>
          <w:p w14:paraId="24B1FD3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Portuguese language</w:t>
            </w:r>
          </w:p>
        </w:tc>
        <w:tc>
          <w:tcPr>
            <w:tcW w:w="1624" w:type="dxa"/>
          </w:tcPr>
          <w:p w14:paraId="5B4C61D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Published in Portuguese. Does not meet inclusion criterion #5 (English language).</w:t>
            </w:r>
          </w:p>
        </w:tc>
      </w:tr>
      <w:tr w:rsidR="008003BB" w:rsidRPr="008003BB" w14:paraId="39FBC4DA" w14:textId="77777777" w:rsidTr="00472CF5">
        <w:tc>
          <w:tcPr>
            <w:tcW w:w="609" w:type="dxa"/>
          </w:tcPr>
          <w:p w14:paraId="2DFBE42B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21" w:type="dxa"/>
          </w:tcPr>
          <w:p w14:paraId="336D0649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Unpublished manuscript — “Effectiveness of Ultrasound-Guided Versus Traditional IV Insertion by Oncology Nurses in Adult Population Receiving </w:t>
            </w:r>
            <w:r w:rsidRPr="008003BB">
              <w:rPr>
                <w:rFonts w:ascii="Times New Roman" w:hAnsi="Times New Roman" w:cs="Times New Roman"/>
              </w:rPr>
              <w:lastRenderedPageBreak/>
              <w:t>Systemic Anti-</w:t>
            </w:r>
            <w:proofErr w:type="gramStart"/>
            <w:r w:rsidRPr="008003BB">
              <w:rPr>
                <w:rFonts w:ascii="Times New Roman" w:hAnsi="Times New Roman" w:cs="Times New Roman"/>
              </w:rPr>
              <w:t>cancer</w:t>
            </w:r>
            <w:proofErr w:type="gramEnd"/>
            <w:r w:rsidRPr="008003BB">
              <w:rPr>
                <w:rFonts w:ascii="Times New Roman" w:hAnsi="Times New Roman" w:cs="Times New Roman"/>
              </w:rPr>
              <w:t xml:space="preserve"> Therapy”</w:t>
            </w:r>
          </w:p>
        </w:tc>
        <w:tc>
          <w:tcPr>
            <w:tcW w:w="4264" w:type="dxa"/>
          </w:tcPr>
          <w:p w14:paraId="7896EEFD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lastRenderedPageBreak/>
              <w:t>Not published</w:t>
            </w:r>
          </w:p>
        </w:tc>
        <w:tc>
          <w:tcPr>
            <w:tcW w:w="1624" w:type="dxa"/>
          </w:tcPr>
          <w:p w14:paraId="515B634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Manuscript not published at time of search.</w:t>
            </w:r>
          </w:p>
        </w:tc>
      </w:tr>
      <w:tr w:rsidR="008003BB" w:rsidRPr="008003BB" w14:paraId="19873EE0" w14:textId="77777777" w:rsidTr="00D440D8">
        <w:tc>
          <w:tcPr>
            <w:tcW w:w="609" w:type="dxa"/>
          </w:tcPr>
          <w:p w14:paraId="383F21B6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21" w:type="dxa"/>
          </w:tcPr>
          <w:p w14:paraId="68FD0F18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Kleidon TM et al. (2023) “Ultrasound-guided PIVC insertion: a randomised controlled trial protocol.” </w:t>
            </w:r>
            <w:r w:rsidRPr="008003BB">
              <w:rPr>
                <w:rFonts w:ascii="Times New Roman" w:hAnsi="Times New Roman" w:cs="Times New Roman"/>
                <w:i/>
                <w:iCs/>
              </w:rPr>
              <w:t>British Journal of Nursing</w:t>
            </w:r>
            <w:r w:rsidRPr="008003B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264" w:type="dxa"/>
          </w:tcPr>
          <w:p w14:paraId="4F38EC9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Protocol only, no results</w:t>
            </w:r>
          </w:p>
        </w:tc>
        <w:tc>
          <w:tcPr>
            <w:tcW w:w="1624" w:type="dxa"/>
          </w:tcPr>
          <w:p w14:paraId="55D9A477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Protocol paper for the EPIC trial; same trial as Kleidon 2025 (JAMA Pediatrics). No post-insertion outcome data reported.</w:t>
            </w:r>
          </w:p>
        </w:tc>
      </w:tr>
      <w:tr w:rsidR="008003BB" w:rsidRPr="008003BB" w14:paraId="14FA22CE" w14:textId="77777777" w:rsidTr="00D440D8">
        <w:tc>
          <w:tcPr>
            <w:tcW w:w="609" w:type="dxa"/>
            <w:tcBorders>
              <w:bottom w:val="single" w:sz="4" w:space="0" w:color="auto"/>
            </w:tcBorders>
          </w:tcPr>
          <w:p w14:paraId="7483E273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21" w:type="dxa"/>
            <w:tcBorders>
              <w:bottom w:val="single" w:sz="4" w:space="0" w:color="auto"/>
            </w:tcBorders>
          </w:tcPr>
          <w:p w14:paraId="0293562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Kleidon TM et al. (2022) “EPIC RCT.” </w:t>
            </w:r>
            <w:r w:rsidRPr="008003BB">
              <w:rPr>
                <w:rFonts w:ascii="Times New Roman" w:hAnsi="Times New Roman" w:cs="Times New Roman"/>
                <w:i/>
                <w:iCs/>
              </w:rPr>
              <w:t>Journal of Vascular Access</w:t>
            </w:r>
            <w:r w:rsidRPr="008003B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264" w:type="dxa"/>
            <w:tcBorders>
              <w:bottom w:val="single" w:sz="4" w:space="0" w:color="auto"/>
            </w:tcBorders>
          </w:tcPr>
          <w:p w14:paraId="695C0FAB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Duplicate report</w:t>
            </w:r>
          </w:p>
        </w:tc>
        <w:tc>
          <w:tcPr>
            <w:tcW w:w="1624" w:type="dxa"/>
            <w:tcBorders>
              <w:bottom w:val="single" w:sz="4" w:space="0" w:color="auto"/>
            </w:tcBorders>
          </w:tcPr>
          <w:p w14:paraId="0BD2119B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Conference abstract/earlier report of the same EPIC trial. Primary report (Kleidon 2025, JAMA Pediatrics) used for data extraction.</w:t>
            </w:r>
          </w:p>
        </w:tc>
      </w:tr>
    </w:tbl>
    <w:p w14:paraId="5B15F4DA" w14:textId="77777777" w:rsidR="008003BB" w:rsidRPr="00D440D8" w:rsidRDefault="008003BB" w:rsidP="008003BB">
      <w:pPr>
        <w:rPr>
          <w:rFonts w:ascii="Times New Roman" w:hAnsi="Times New Roman" w:cs="Times New Roman"/>
          <w:b/>
          <w:bCs/>
        </w:rPr>
      </w:pPr>
      <w:bookmarkStart w:id="2" w:name="Xf96e9f1c5c6aca712706c6adcc2b639f1b4c5a6"/>
      <w:bookmarkEnd w:id="1"/>
      <w:r w:rsidRPr="00D440D8">
        <w:rPr>
          <w:rFonts w:ascii="Times New Roman" w:hAnsi="Times New Roman" w:cs="Times New Roman"/>
          <w:b/>
          <w:bCs/>
        </w:rPr>
        <w:t>Full-text articles retrieved and included (previously not retrieved)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94"/>
        <w:gridCol w:w="2085"/>
        <w:gridCol w:w="3278"/>
        <w:gridCol w:w="2383"/>
      </w:tblGrid>
      <w:tr w:rsidR="008003BB" w:rsidRPr="008003BB" w14:paraId="6462B04A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9" w:type="dxa"/>
          </w:tcPr>
          <w:p w14:paraId="745F3BFD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911" w:type="dxa"/>
          </w:tcPr>
          <w:p w14:paraId="048D4F3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3004" w:type="dxa"/>
          </w:tcPr>
          <w:p w14:paraId="3C25105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Rayyan ID</w:t>
            </w:r>
          </w:p>
        </w:tc>
        <w:tc>
          <w:tcPr>
            <w:tcW w:w="2184" w:type="dxa"/>
          </w:tcPr>
          <w:p w14:paraId="74F133F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Status</w:t>
            </w:r>
          </w:p>
        </w:tc>
      </w:tr>
      <w:tr w:rsidR="008003BB" w:rsidRPr="008003BB" w14:paraId="4DFF65A5" w14:textId="77777777" w:rsidTr="00D440D8">
        <w:tc>
          <w:tcPr>
            <w:tcW w:w="819" w:type="dxa"/>
          </w:tcPr>
          <w:p w14:paraId="3911FDF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11" w:type="dxa"/>
          </w:tcPr>
          <w:p w14:paraId="0247F87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Refosco M et al. (2024) — USG deep veins vs blind superficial veins in children 0-18y</w:t>
            </w:r>
          </w:p>
        </w:tc>
        <w:tc>
          <w:tcPr>
            <w:tcW w:w="3004" w:type="dxa"/>
          </w:tcPr>
          <w:p w14:paraId="1E12E47D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486160202</w:t>
            </w:r>
          </w:p>
        </w:tc>
        <w:tc>
          <w:tcPr>
            <w:tcW w:w="2184" w:type="dxa"/>
          </w:tcPr>
          <w:p w14:paraId="55D4564B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Retrieved and included (confounded by catheter type)</w:t>
            </w:r>
          </w:p>
        </w:tc>
      </w:tr>
      <w:tr w:rsidR="008003BB" w:rsidRPr="008003BB" w14:paraId="0075A4B3" w14:textId="77777777" w:rsidTr="00D440D8">
        <w:tc>
          <w:tcPr>
            <w:tcW w:w="819" w:type="dxa"/>
            <w:tcBorders>
              <w:bottom w:val="single" w:sz="4" w:space="0" w:color="auto"/>
            </w:tcBorders>
          </w:tcPr>
          <w:p w14:paraId="59EB4215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1" w:type="dxa"/>
            <w:tcBorders>
              <w:bottom w:val="single" w:sz="4" w:space="0" w:color="auto"/>
            </w:tcBorders>
          </w:tcPr>
          <w:p w14:paraId="315302FC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Cottrell JT et al. (2021) — USG increases catheter dwell time in children</w:t>
            </w:r>
          </w:p>
        </w:tc>
        <w:tc>
          <w:tcPr>
            <w:tcW w:w="3004" w:type="dxa"/>
            <w:tcBorders>
              <w:bottom w:val="single" w:sz="4" w:space="0" w:color="auto"/>
            </w:tcBorders>
          </w:tcPr>
          <w:p w14:paraId="58A651D7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486160348</w:t>
            </w:r>
          </w:p>
        </w:tc>
        <w:tc>
          <w:tcPr>
            <w:tcW w:w="2184" w:type="dxa"/>
            <w:tcBorders>
              <w:bottom w:val="single" w:sz="4" w:space="0" w:color="auto"/>
            </w:tcBorders>
          </w:tcPr>
          <w:p w14:paraId="7F9E8C34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Retrieved and included</w:t>
            </w:r>
          </w:p>
        </w:tc>
      </w:tr>
    </w:tbl>
    <w:p w14:paraId="3C3C199B" w14:textId="77777777" w:rsidR="008003BB" w:rsidRPr="00D440D8" w:rsidRDefault="008003BB" w:rsidP="008003BB">
      <w:pPr>
        <w:rPr>
          <w:rFonts w:ascii="Times New Roman" w:hAnsi="Times New Roman" w:cs="Times New Roman"/>
          <w:b/>
          <w:bCs/>
        </w:rPr>
      </w:pPr>
      <w:bookmarkStart w:id="3" w:name="X1a6c23beace003bc54b436f552c9b37dc2655f4"/>
      <w:bookmarkEnd w:id="2"/>
      <w:r w:rsidRPr="00D440D8">
        <w:rPr>
          <w:rFonts w:ascii="Times New Roman" w:hAnsi="Times New Roman" w:cs="Times New Roman"/>
          <w:b/>
          <w:bCs/>
        </w:rPr>
        <w:t>Full-text articles retrieved after initial search (subsequently included)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94"/>
        <w:gridCol w:w="2085"/>
        <w:gridCol w:w="3278"/>
        <w:gridCol w:w="2383"/>
      </w:tblGrid>
      <w:tr w:rsidR="008003BB" w:rsidRPr="008003BB" w14:paraId="1CF60694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9" w:type="dxa"/>
          </w:tcPr>
          <w:p w14:paraId="68AF1A16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911" w:type="dxa"/>
          </w:tcPr>
          <w:p w14:paraId="2088ADF0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3004" w:type="dxa"/>
          </w:tcPr>
          <w:p w14:paraId="368591E7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Rayyan ID</w:t>
            </w:r>
          </w:p>
        </w:tc>
        <w:tc>
          <w:tcPr>
            <w:tcW w:w="2184" w:type="dxa"/>
          </w:tcPr>
          <w:p w14:paraId="3D3B09DC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Status</w:t>
            </w:r>
          </w:p>
        </w:tc>
      </w:tr>
      <w:tr w:rsidR="008003BB" w:rsidRPr="008003BB" w14:paraId="4B27D334" w14:textId="77777777" w:rsidTr="008003BB">
        <w:tc>
          <w:tcPr>
            <w:tcW w:w="819" w:type="dxa"/>
          </w:tcPr>
          <w:p w14:paraId="25672473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11" w:type="dxa"/>
          </w:tcPr>
          <w:p w14:paraId="00EE0A9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Desai K et al. (2018) — Longevity and Complication Rates of Ultrasound Guided vs Traditional PIVC in a Paediatric ED. </w:t>
            </w:r>
            <w:r w:rsidRPr="008003BB">
              <w:rPr>
                <w:rFonts w:ascii="Times New Roman" w:hAnsi="Times New Roman" w:cs="Times New Roman"/>
                <w:i/>
                <w:iCs/>
              </w:rPr>
              <w:t>JAVA</w:t>
            </w:r>
            <w:r w:rsidRPr="008003BB">
              <w:rPr>
                <w:rFonts w:ascii="Times New Roman" w:hAnsi="Times New Roman" w:cs="Times New Roman"/>
              </w:rPr>
              <w:t xml:space="preserve"> 23(3):149-154.</w:t>
            </w:r>
          </w:p>
        </w:tc>
        <w:tc>
          <w:tcPr>
            <w:tcW w:w="3004" w:type="dxa"/>
          </w:tcPr>
          <w:p w14:paraId="4719599C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486161209</w:t>
            </w:r>
          </w:p>
        </w:tc>
        <w:tc>
          <w:tcPr>
            <w:tcW w:w="2184" w:type="dxa"/>
          </w:tcPr>
          <w:p w14:paraId="328FA13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Retrieved April 2026 via interlibrary loan; included (classified as catheter-length confounded; excluded from primary pooling, retained in narrative synthesis)</w:t>
            </w:r>
          </w:p>
        </w:tc>
      </w:tr>
      <w:tr w:rsidR="008003BB" w:rsidRPr="008003BB" w14:paraId="6FC09D2C" w14:textId="77777777" w:rsidTr="008003BB">
        <w:tc>
          <w:tcPr>
            <w:tcW w:w="819" w:type="dxa"/>
            <w:tcBorders>
              <w:bottom w:val="single" w:sz="4" w:space="0" w:color="auto"/>
            </w:tcBorders>
          </w:tcPr>
          <w:p w14:paraId="51DE5C23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1" w:type="dxa"/>
            <w:tcBorders>
              <w:bottom w:val="single" w:sz="4" w:space="0" w:color="auto"/>
            </w:tcBorders>
          </w:tcPr>
          <w:p w14:paraId="5A819A48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Nishizawa T et al. (2020) — Nurse-Performed Ultrasound-Guided Technique for Difficult Peripheral IV Access in Critically Ill Patients. </w:t>
            </w:r>
            <w:r w:rsidRPr="008003BB">
              <w:rPr>
                <w:rFonts w:ascii="Times New Roman" w:hAnsi="Times New Roman" w:cs="Times New Roman"/>
                <w:i/>
                <w:iCs/>
              </w:rPr>
              <w:t>JAVA</w:t>
            </w:r>
            <w:r w:rsidRPr="008003BB">
              <w:rPr>
                <w:rFonts w:ascii="Times New Roman" w:hAnsi="Times New Roman" w:cs="Times New Roman"/>
              </w:rPr>
              <w:t xml:space="preserve"> 25(2):34-39.</w:t>
            </w:r>
          </w:p>
        </w:tc>
        <w:tc>
          <w:tcPr>
            <w:tcW w:w="3004" w:type="dxa"/>
            <w:tcBorders>
              <w:bottom w:val="single" w:sz="4" w:space="0" w:color="auto"/>
            </w:tcBorders>
          </w:tcPr>
          <w:p w14:paraId="3908A7C1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486161498</w:t>
            </w:r>
          </w:p>
        </w:tc>
        <w:tc>
          <w:tcPr>
            <w:tcW w:w="2184" w:type="dxa"/>
            <w:tcBorders>
              <w:bottom w:val="single" w:sz="4" w:space="0" w:color="auto"/>
            </w:tcBorders>
          </w:tcPr>
          <w:p w14:paraId="1C186AA9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Retrieved April 2026 via interlibrary loan; included (5th RCT; extravasation data contributed to narrative synthesis)</w:t>
            </w:r>
          </w:p>
        </w:tc>
      </w:tr>
      <w:bookmarkEnd w:id="0"/>
      <w:bookmarkEnd w:id="3"/>
    </w:tbl>
    <w:p w14:paraId="4B5AA1A3" w14:textId="77777777" w:rsidR="008003BB" w:rsidRDefault="008003BB" w:rsidP="008003BB"/>
    <w:p w14:paraId="28599172" w14:textId="77777777" w:rsidR="00DD2D9A" w:rsidRDefault="00DD2D9A"/>
    <w:sectPr w:rsidR="00DD2D9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savePreviewPicture/>
  <w:footnotePr>
    <w:numRestart w:val="eachSect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502"/>
    <w:rsid w:val="002B5502"/>
    <w:rsid w:val="008003BB"/>
    <w:rsid w:val="00942775"/>
    <w:rsid w:val="00D440D8"/>
    <w:rsid w:val="00DD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62689"/>
  <w15:chartTrackingRefBased/>
  <w15:docId w15:val="{1BCB4BC5-3E7D-4EA0-A945-2563470E2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03BB"/>
    <w:pPr>
      <w:spacing w:after="200"/>
    </w:pPr>
    <w:rPr>
      <w:kern w:val="0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rsid w:val="00800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00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8003B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character" w:customStyle="1" w:styleId="20">
    <w:name w:val="標題 2 字元"/>
    <w:basedOn w:val="a1"/>
    <w:link w:val="2"/>
    <w:uiPriority w:val="9"/>
    <w:semiHidden/>
    <w:rsid w:val="008003B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paragraph" w:customStyle="1" w:styleId="Compact">
    <w:name w:val="Compact"/>
    <w:basedOn w:val="a0"/>
    <w:qFormat/>
    <w:rsid w:val="008003BB"/>
    <w:pPr>
      <w:spacing w:before="36" w:after="36"/>
    </w:pPr>
  </w:style>
  <w:style w:type="table" w:customStyle="1" w:styleId="Table">
    <w:name w:val="Table"/>
    <w:semiHidden/>
    <w:unhideWhenUsed/>
    <w:qFormat/>
    <w:rsid w:val="008003BB"/>
    <w:pPr>
      <w:spacing w:after="200"/>
    </w:pPr>
    <w:rPr>
      <w:kern w:val="0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0">
    <w:name w:val="Body Text"/>
    <w:basedOn w:val="a"/>
    <w:link w:val="a4"/>
    <w:uiPriority w:val="99"/>
    <w:semiHidden/>
    <w:unhideWhenUsed/>
    <w:rsid w:val="008003BB"/>
    <w:pPr>
      <w:spacing w:after="120"/>
    </w:pPr>
  </w:style>
  <w:style w:type="character" w:customStyle="1" w:styleId="a4">
    <w:name w:val="本文 字元"/>
    <w:basedOn w:val="a1"/>
    <w:link w:val="a0"/>
    <w:uiPriority w:val="99"/>
    <w:semiHidden/>
    <w:rsid w:val="008003BB"/>
    <w:rPr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陳柏銘</dc:creator>
  <cp:keywords/>
  <dc:description/>
  <cp:lastModifiedBy>陳柏銘</cp:lastModifiedBy>
  <cp:revision>4</cp:revision>
  <dcterms:created xsi:type="dcterms:W3CDTF">2026-05-05T08:56:00Z</dcterms:created>
  <dcterms:modified xsi:type="dcterms:W3CDTF">2026-05-05T08:59:00Z</dcterms:modified>
</cp:coreProperties>
</file>