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49d781cc4f34794990bf23e4c3c59c4348ba92"/>
    <w:p>
      <w:pPr>
        <w:pStyle w:val="Heading1"/>
      </w:pPr>
      <w:r>
        <w:t xml:space="preserve">TUJ 19152 — Corrected reference list + in-text citation map (2026-06-30)</w:t>
      </w:r>
    </w:p>
    <w:bookmarkStart w:id="9" w:name="what-changed-and-why"/>
    <w:p>
      <w:pPr>
        <w:pStyle w:val="Heading2"/>
      </w:pPr>
      <w:r>
        <w:t xml:space="preserve">What changed and why</w:t>
      </w:r>
    </w:p>
    <w:p>
      <w:pPr>
        <w:pStyle w:val="FirstParagraph"/>
      </w:pPr>
      <w:r>
        <w:t xml:space="preserve">The reference list contains</w:t>
      </w:r>
      <w:r>
        <w:t xml:space="preserve"> </w:t>
      </w:r>
      <w:r>
        <w:rPr>
          <w:b/>
          <w:bCs/>
        </w:rPr>
        <w:t xml:space="preserve">two duplicate entries</w:t>
      </w:r>
      <w:r>
        <w:t xml:space="preserve">: ref</w:t>
      </w:r>
      <w:r>
        <w:t xml:space="preserve"> </w:t>
      </w:r>
      <w:r>
        <w:rPr>
          <w:b/>
          <w:bCs/>
        </w:rPr>
        <w:t xml:space="preserve">32</w:t>
      </w:r>
      <w:r>
        <w:t xml:space="preserve"> </w:t>
      </w:r>
      <w:r>
        <w:t xml:space="preserve">repeats ref</w:t>
      </w:r>
      <w:r>
        <w:t xml:space="preserve"> </w:t>
      </w:r>
      <w:r>
        <w:rPr>
          <w:b/>
          <w:bCs/>
        </w:rPr>
        <w:t xml:space="preserve">8</w:t>
      </w:r>
      <w:r>
        <w:t xml:space="preserve"> </w:t>
      </w:r>
      <w:r>
        <w:t xml:space="preserve">(Kleidon 2022 pediatric systematic review), and ref</w:t>
      </w:r>
      <w:r>
        <w:t xml:space="preserve"> </w:t>
      </w:r>
      <w:r>
        <w:rPr>
          <w:b/>
          <w:bCs/>
        </w:rPr>
        <w:t xml:space="preserve">33</w:t>
      </w:r>
      <w:r>
        <w:t xml:space="preserve"> </w:t>
      </w:r>
      <w:r>
        <w:t xml:space="preserve">repeats ref</w:t>
      </w:r>
      <w:r>
        <w:t xml:space="preserve"> </w:t>
      </w:r>
      <w:r>
        <w:rPr>
          <w:b/>
          <w:bCs/>
        </w:rPr>
        <w:t xml:space="preserve">27</w:t>
      </w:r>
      <w:r>
        <w:t xml:space="preserve"> </w:t>
      </w:r>
      <w:r>
        <w:t xml:space="preserve">(Refosco 2025). After deleting the two duplicates and renumbering, the list has</w:t>
      </w:r>
      <w:r>
        <w:t xml:space="preserve"> </w:t>
      </w:r>
      <w:r>
        <w:rPr>
          <w:b/>
          <w:bCs/>
        </w:rPr>
        <w:t xml:space="preserve">35 references</w:t>
      </w:r>
      <w:r>
        <w:t xml:space="preserve"> </w:t>
      </w:r>
      <w:r>
        <w:t xml:space="preserve">(old 34→32, 35→33, 36→34, 37→35). Several in-text citations also need correction (see the table after the list).</w:t>
      </w:r>
    </w:p>
    <w:p>
      <w:r>
        <w:pict>
          <v:rect style="width:0;height:1.5pt" o:hralign="center" o:hrstd="t" o:hr="t"/>
        </w:pict>
      </w:r>
    </w:p>
    <w:bookmarkEnd w:id="9"/>
    <w:bookmarkStart w:id="10" w:name="X0fab2ebb6dad18404684a6862c91a4f7f2f8aad"/>
    <w:p>
      <w:pPr>
        <w:pStyle w:val="Heading2"/>
      </w:pPr>
      <w:r>
        <w:t xml:space="preserve">A. Corrected reference list (35 references — replace the current list 1–37)</w:t>
      </w:r>
    </w:p>
    <w:p>
      <w:pPr>
        <w:pStyle w:val="FirstParagraph"/>
      </w:pPr>
      <w:r>
        <w:rPr>
          <w:i/>
          <w:iCs/>
        </w:rPr>
        <w:t xml:space="preserve">References 1–31 are unchanged; only 32–35 differ (the two duplicates removed and the tail renumbered). The full list is given for clean replacement.</w:t>
      </w:r>
    </w:p>
    <w:p>
      <w:pPr>
        <w:pStyle w:val="Compact"/>
        <w:numPr>
          <w:ilvl w:val="0"/>
          <w:numId w:val="1001"/>
        </w:numPr>
      </w:pPr>
      <w:r>
        <w:t xml:space="preserve">Alexandrou E, Ray-Barruel G, Carr PJ, Frost SA, Inwood S, Higgins N, et al. Use of Short Peripheral Intravenous Catheters: Characteristics, Management, and Outcomes Worldwide. J Hosp Med. 2018;13(5).</w:t>
      </w:r>
    </w:p>
    <w:p>
      <w:pPr>
        <w:pStyle w:val="Compact"/>
        <w:numPr>
          <w:ilvl w:val="0"/>
          <w:numId w:val="1001"/>
        </w:numPr>
      </w:pPr>
      <w:r>
        <w:t xml:space="preserve">O’Grady NP, Alexander M, Burns LA, Dellinger EP, Garland J, Heard SO, et al. Guidelines for the prevention of intravascular catheter-related infections. Am J Infect Control. 2011;39(4 Suppl 1):S1-34.</w:t>
      </w:r>
    </w:p>
    <w:p>
      <w:pPr>
        <w:pStyle w:val="Compact"/>
        <w:numPr>
          <w:ilvl w:val="0"/>
          <w:numId w:val="1001"/>
        </w:numPr>
      </w:pPr>
      <w:r>
        <w:t xml:space="preserve">Nickel B, Gorski L, Kleidon T, Kyes A, DeVries M, Keogh S, et al. Infusion Therapy Standards of Practice, 9th Edition. J Infus Nurs. 2024;47(1S Suppl 1):S1-S285.</w:t>
      </w:r>
    </w:p>
    <w:p>
      <w:pPr>
        <w:pStyle w:val="Compact"/>
        <w:numPr>
          <w:ilvl w:val="0"/>
          <w:numId w:val="1001"/>
        </w:numPr>
      </w:pPr>
      <w:r>
        <w:t xml:space="preserve">Egan G, Healy D, O’Neill H, Clarke-Moloney M, Grace PA, Walsh SR. Ultrasound guidance for difficult peripheral venous access: systematic review and meta-analysis. Emerg Med J. 2013;30(7):521-6.</w:t>
      </w:r>
    </w:p>
    <w:p>
      <w:pPr>
        <w:pStyle w:val="Compact"/>
        <w:numPr>
          <w:ilvl w:val="0"/>
          <w:numId w:val="1001"/>
        </w:numPr>
      </w:pPr>
      <w:r>
        <w:t xml:space="preserve">Avelar AF, Peterlini MA, da Luz Goncalves Pedreira M. Ultrasonography-Guided Peripheral Intravenous Access in Children: A Randomized Controlled Trial. J Infus Nurs. 2015;38(5):320-7.</w:t>
      </w:r>
    </w:p>
    <w:p>
      <w:pPr>
        <w:pStyle w:val="Compact"/>
        <w:numPr>
          <w:ilvl w:val="0"/>
          <w:numId w:val="1001"/>
        </w:numPr>
      </w:pPr>
      <w:r>
        <w:t xml:space="preserve">van Loon FHJ, Buise MP, Claassen JJF, Dierick-van Daele ATM, Bouwman ARA. Comparison of ultrasound guidance with palpation and direct visualization for peripheral vein cannulation in adult patients: a systematic review and meta-analysis. Br J Anaesth. 2018;121(2):358-66.</w:t>
      </w:r>
    </w:p>
    <w:p>
      <w:pPr>
        <w:pStyle w:val="Compact"/>
        <w:numPr>
          <w:ilvl w:val="0"/>
          <w:numId w:val="1001"/>
        </w:numPr>
      </w:pPr>
      <w:r>
        <w:t xml:space="preserve">Stolz LA, Stolz U, Howe C, Farrell IJ, Adhikari S. Ultrasound-guided peripheral venous access: a meta-analysis and systematic review. J Vasc Access. 2015;16(4):321-6.</w:t>
      </w:r>
    </w:p>
    <w:p>
      <w:pPr>
        <w:pStyle w:val="Compact"/>
        <w:numPr>
          <w:ilvl w:val="0"/>
          <w:numId w:val="1001"/>
        </w:numPr>
      </w:pPr>
      <w:r>
        <w:t xml:space="preserve">Kleidon TM, Schults J, Paterson R, Rickard CM, Ullman AJ. Comparison of ultrasound-guided peripheral intravenous catheter insertion with landmark technique in pediatric patients: A systematic review and meta-analysis. J Paediatr Child Health. 2022;58(6):953-61.</w:t>
      </w:r>
    </w:p>
    <w:p>
      <w:pPr>
        <w:pStyle w:val="Compact"/>
        <w:numPr>
          <w:ilvl w:val="0"/>
          <w:numId w:val="1001"/>
        </w:numPr>
      </w:pPr>
      <w:r>
        <w:t xml:space="preserve">Fields JM, Dean AJ, Todman RW, Au AK, Anderson KL, Ku BS, et al. The effect of vessel depth, diameter, and location on ultrasound-guided peripheral intravenous catheter longevity. Am J Emerg Med. 2012;30(7):1134-40.</w:t>
      </w:r>
    </w:p>
    <w:p>
      <w:pPr>
        <w:pStyle w:val="Compact"/>
        <w:numPr>
          <w:ilvl w:val="0"/>
          <w:numId w:val="1001"/>
        </w:numPr>
      </w:pPr>
      <w:r>
        <w:t xml:space="preserve">Elia F, Ferrari G, Molino P, Converso M, De Filippi G, Milan A, et al. Standard-length catheters vs long catheters in ultrasound-guided peripheral vein cannulation. Am J Emerg Med. 2012;30(5):712-6.</w:t>
      </w:r>
    </w:p>
    <w:p>
      <w:pPr>
        <w:pStyle w:val="Compact"/>
        <w:numPr>
          <w:ilvl w:val="0"/>
          <w:numId w:val="1001"/>
        </w:numPr>
      </w:pPr>
      <w:r>
        <w:t xml:space="preserve">Malik A, Dewald O, Gallien J, Favot M, Kasten A, Reed B, et al. Outcomes of Ultrasound Guided Peripheral Intravenous Catheters Placed in the Emergency Department and Factors Associated with Survival. Open Access Emerg Med. 2023;15:177-87.</w:t>
      </w:r>
    </w:p>
    <w:p>
      <w:pPr>
        <w:pStyle w:val="Compact"/>
        <w:numPr>
          <w:ilvl w:val="0"/>
          <w:numId w:val="1001"/>
        </w:numPr>
      </w:pPr>
      <w:r>
        <w:t xml:space="preserve">Avelar AF, Peterlini MA, da Pedreira ML. [Assertiveness and peripheral intravenous catheters dwell time with ultrasonography-guided insertion in children and adolescents]. Rev Esc Enferm USP. 2013;47(3):539-46.</w:t>
      </w:r>
    </w:p>
    <w:p>
      <w:pPr>
        <w:pStyle w:val="Compact"/>
        <w:numPr>
          <w:ilvl w:val="0"/>
          <w:numId w:val="1001"/>
        </w:numPr>
      </w:pPr>
      <w:r>
        <w:t xml:space="preserve">Kleidon TM, Schults J, Rickard C, Ullman AJ. Ultrasound-guided PIVC insertion: a randomized controlled trial protocol. Br J Nurs. 2023;32(14):S22-S8.</w:t>
      </w:r>
    </w:p>
    <w:p>
      <w:pPr>
        <w:pStyle w:val="Compact"/>
        <w:numPr>
          <w:ilvl w:val="0"/>
          <w:numId w:val="1001"/>
        </w:numPr>
      </w:pPr>
      <w:r>
        <w:t xml:space="preserve">Kleidon TM, Schults JA, Royle RH, Gibson V, Ware RS, Andresen E, et al. First-Attempt Success in Ultrasound-Guided vs Standard Peripheral Intravenous Catheter Insertion: The EPIC Superiority Randomized Clinical Trial. JAMA Pediatr. 2025;179(3):255-63.</w:t>
      </w:r>
    </w:p>
    <w:p>
      <w:pPr>
        <w:pStyle w:val="Compact"/>
        <w:numPr>
          <w:ilvl w:val="0"/>
          <w:numId w:val="1001"/>
        </w:numPr>
      </w:pPr>
      <w:r>
        <w:t xml:space="preserve">Desai K, Vinograd AM, Abbadessa MKF, Chen AE. Longevity and Complication Rates of Ultrasound Guided Versus Traditional Peripheral Intravenous Catheters in a Pediatric Emergency Department. J Assoc Vasc Access. 2018;23(3):149-154.</w:t>
      </w:r>
    </w:p>
    <w:p>
      <w:pPr>
        <w:pStyle w:val="Compact"/>
        <w:numPr>
          <w:ilvl w:val="0"/>
          <w:numId w:val="1001"/>
        </w:numPr>
      </w:pPr>
      <w:r>
        <w:t xml:space="preserve">Nishizawa T, Matsumoto T, Todaka T, Sasano M, Kitagawa H, Shimabuku A. Nurse-Performed Ultrasound-Guided Technique for Difficult Peripheral Intravenous Access in Critically Ill Patients: A Randomized Controlled Trial. J Assoc Vasc Access. 2020;25(2):34-39.</w:t>
      </w:r>
    </w:p>
    <w:p>
      <w:pPr>
        <w:pStyle w:val="Compact"/>
        <w:numPr>
          <w:ilvl w:val="0"/>
          <w:numId w:val="1001"/>
        </w:numPr>
      </w:pPr>
      <w:r>
        <w:t xml:space="preserve">Guyatt GH, Oxman AD, Vist GE, Kunz R, Falck-Ytter Y, Alonso-Coello P, et al. GRADE: an emerging consensus on rating quality of evidence and strength of recommendations. BMJ. 2008;336(7650):924-6.</w:t>
      </w:r>
    </w:p>
    <w:p>
      <w:pPr>
        <w:pStyle w:val="Compact"/>
        <w:numPr>
          <w:ilvl w:val="0"/>
          <w:numId w:val="1001"/>
        </w:numPr>
      </w:pPr>
      <w:r>
        <w:t xml:space="preserve">Balduzzi S, Rücker G, Schwarzer G. How to perform a meta-analysis with R: a practical tutorial. Evid Based Ment Health. 2019;22(4):153-160.</w:t>
      </w:r>
    </w:p>
    <w:p>
      <w:pPr>
        <w:pStyle w:val="Compact"/>
        <w:numPr>
          <w:ilvl w:val="0"/>
          <w:numId w:val="1001"/>
        </w:numPr>
      </w:pPr>
      <w:r>
        <w:t xml:space="preserve">Viechtbauer W. Conducting meta-analyses in R with the metafor package. J Stat Softw. 2010;36(3):1-48.</w:t>
      </w:r>
    </w:p>
    <w:p>
      <w:pPr>
        <w:pStyle w:val="Compact"/>
        <w:numPr>
          <w:ilvl w:val="0"/>
          <w:numId w:val="1001"/>
        </w:numPr>
      </w:pPr>
      <w:r>
        <w:t xml:space="preserve">IntHout J, Ioannidis JPA, Borm GF. The Hartung-Knapp-Sidik-Jonkman method for random effects meta-analysis is straightforward and considerably outperforms the standard DerSimonian-Laird method. BMC Med Res Methodol. 2014;14:25.</w:t>
      </w:r>
    </w:p>
    <w:p>
      <w:pPr>
        <w:pStyle w:val="Compact"/>
        <w:numPr>
          <w:ilvl w:val="0"/>
          <w:numId w:val="1001"/>
        </w:numPr>
      </w:pPr>
      <w:r>
        <w:t xml:space="preserve">Varghese S, Ranjit T. Ultrasound-Guided vs Landmark Peripheral IV Cannulation in the Pediatric ED: A Randomized Controlled Trial. Int J Med Public Health. 2025;15(4):1880-1885.</w:t>
      </w:r>
    </w:p>
    <w:p>
      <w:pPr>
        <w:pStyle w:val="Compact"/>
        <w:numPr>
          <w:ilvl w:val="0"/>
          <w:numId w:val="1001"/>
        </w:numPr>
      </w:pPr>
      <w:r>
        <w:t xml:space="preserve">Leroux S, Deaner T, Wasser T, Huey C, Carr B, Howard A, et al. The Impact of Peripheral Intravenous Catheter Insertion Technique and Catheter-to-Vein Ratio on Postinsertion Failure. J Emerg Med. 2023;64(5):564-73.</w:t>
      </w:r>
    </w:p>
    <w:p>
      <w:pPr>
        <w:pStyle w:val="Compact"/>
        <w:numPr>
          <w:ilvl w:val="0"/>
          <w:numId w:val="1001"/>
        </w:numPr>
      </w:pPr>
      <w:r>
        <w:t xml:space="preserve">Bridey C, Thilly N, Lefevre T, Maire-Richard A, Morel M, Levy B, et al. Ultrasound-guided versus landmark approach for peripheral intravenous access by critical care nurses: a randomized controlled study. BMJ Open. 2018;8(6):e020220.</w:t>
      </w:r>
    </w:p>
    <w:p>
      <w:pPr>
        <w:pStyle w:val="Compact"/>
        <w:numPr>
          <w:ilvl w:val="0"/>
          <w:numId w:val="1001"/>
        </w:numPr>
      </w:pPr>
      <w:r>
        <w:t xml:space="preserve">Feinsmith SE, Amick AE, Feinglass JM, Sell J, Davis EM, Spencer TR, et al. Performance of peripheral catheters inserted with ultrasound guidance versus landmark technique after a simulation-based mastery learning intervention. J Vasc Access. 2023;24(4):630-8.</w:t>
      </w:r>
    </w:p>
    <w:p>
      <w:pPr>
        <w:pStyle w:val="Compact"/>
        <w:numPr>
          <w:ilvl w:val="0"/>
          <w:numId w:val="1001"/>
        </w:numPr>
      </w:pPr>
      <w:r>
        <w:t xml:space="preserve">Cottrell JT, Chang T, Baird J, Barreras J, Elkhunovich MA. Ultrasound-guided placement of peripherally inserted intravenous catheters increase catheter dwell time in children. J Vasc Access. 2021;22(2):189-93.</w:t>
      </w:r>
    </w:p>
    <w:p>
      <w:pPr>
        <w:pStyle w:val="Compact"/>
        <w:numPr>
          <w:ilvl w:val="0"/>
          <w:numId w:val="1001"/>
        </w:numPr>
      </w:pPr>
      <w:r>
        <w:t xml:space="preserve">Shokoohi H, Boniface KS, Kulie P, Long A, McCarthy M. The Utility and Survivorship of Peripheral Intravenous Catheters Inserted in the Emergency Department. Ann Emerg Med. 2019;74(3):381-90.</w:t>
      </w:r>
    </w:p>
    <w:p>
      <w:pPr>
        <w:pStyle w:val="Compact"/>
        <w:numPr>
          <w:ilvl w:val="0"/>
          <w:numId w:val="1001"/>
        </w:numPr>
      </w:pPr>
      <w:r>
        <w:t xml:space="preserve">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pPr>
        <w:pStyle w:val="Compact"/>
        <w:numPr>
          <w:ilvl w:val="0"/>
          <w:numId w:val="1001"/>
        </w:numPr>
      </w:pPr>
      <w:r>
        <w:t xml:space="preserve">Dachepally R, Garcia AD, Liu W, Flechler C, Hanna WJ. Assessing the utility of ultrasound-guided vascular access placement with longer catheters in critically ill pediatric patients. Paediatr Anaesth. 2023;33(6):460-5.</w:t>
      </w:r>
    </w:p>
    <w:p>
      <w:pPr>
        <w:pStyle w:val="Compact"/>
        <w:numPr>
          <w:ilvl w:val="0"/>
          <w:numId w:val="1001"/>
        </w:numPr>
      </w:pPr>
      <w:r>
        <w:t xml:space="preserve">Paladini A, Chiaretti A, Sellasie KW, Pittiruti M, Vento G. Ultrasound-guided placement of long peripheral cannulas in children over the age of 10 years admitted to the emergency department: a pilot study. BMJ Paediatr Open. 2018;2(1):e000244.</w:t>
      </w:r>
    </w:p>
    <w:p>
      <w:pPr>
        <w:pStyle w:val="Compact"/>
        <w:numPr>
          <w:ilvl w:val="0"/>
          <w:numId w:val="1001"/>
        </w:numPr>
      </w:pPr>
      <w:r>
        <w:t xml:space="preserve">Favot M, Gallien J, Malik A, Kasten A, Wells R, Ehrman R. Contrast Extravasation as a Complication of Emergency Nurse-Performed Ultrasound-Guided Peripheral Intravenous Catheter Placement. J Emerg Nurs. 2019;45(5):512-6.</w:t>
      </w:r>
    </w:p>
    <w:p>
      <w:pPr>
        <w:pStyle w:val="Compact"/>
        <w:numPr>
          <w:ilvl w:val="0"/>
          <w:numId w:val="1001"/>
        </w:numPr>
      </w:pPr>
      <w:r>
        <w:t xml:space="preserve">Saltarelli NA, VanHouten J, Boyd J, Rupp J, Ferre RM. Infiltration Rates Are Similar in Ultrasound-Guided and Traditionally Placed Peripheral IVs in Admitted Emergency Department Patients With Difficult IV Access. Ann Emerg Med. 2015;66(4 Suppl):S137.</w:t>
      </w:r>
    </w:p>
    <w:p>
      <w:pPr>
        <w:pStyle w:val="Compact"/>
        <w:numPr>
          <w:ilvl w:val="0"/>
          <w:numId w:val="1001"/>
        </w:numPr>
      </w:pPr>
      <w:r>
        <w:t xml:space="preserve">van Loon FHJ, Korsten HHM, Dierick-van Daele ATM, Bouwman ARA. The impact of the catheter to vein ratio on peripheral intravenous cannulation success, a post-hoc analyses. PLoS One. 2021;16(5):e0252166.</w:t>
      </w:r>
      <w:r>
        <w:t xml:space="preserve"> </w:t>
      </w:r>
      <w:r>
        <w:rPr>
          <w:i/>
          <w:iCs/>
        </w:rPr>
        <w:t xml:space="preserve">(was ref 34)</w:t>
      </w:r>
    </w:p>
    <w:p>
      <w:pPr>
        <w:pStyle w:val="Compact"/>
        <w:numPr>
          <w:ilvl w:val="0"/>
          <w:numId w:val="1001"/>
        </w:numPr>
      </w:pPr>
      <w:r>
        <w:t xml:space="preserve">Pandurangadu AV, Tucker J, Brackney AR, Bahl A. Ultrasound-guided intravenous catheter survival impacted by amount of catheter residing in the vein. Emerg Med J. 2018;35(9):550-5.</w:t>
      </w:r>
      <w:r>
        <w:t xml:space="preserve"> </w:t>
      </w:r>
      <w:r>
        <w:rPr>
          <w:i/>
          <w:iCs/>
        </w:rPr>
        <w:t xml:space="preserve">(was ref 35)</w:t>
      </w:r>
    </w:p>
    <w:p>
      <w:pPr>
        <w:pStyle w:val="Compact"/>
        <w:numPr>
          <w:ilvl w:val="0"/>
          <w:numId w:val="1001"/>
        </w:numPr>
      </w:pPr>
      <w:r>
        <w:t xml:space="preserve">Byrt T, Bishop J, Carlin JB. Bias, prevalence and kappa. J Clin Epidemiol. 1993;46(5):423-9.</w:t>
      </w:r>
      <w:r>
        <w:t xml:space="preserve"> </w:t>
      </w:r>
      <w:r>
        <w:rPr>
          <w:i/>
          <w:iCs/>
        </w:rPr>
        <w:t xml:space="preserve">(was ref 36)</w:t>
      </w:r>
    </w:p>
    <w:p>
      <w:pPr>
        <w:pStyle w:val="Compact"/>
        <w:numPr>
          <w:ilvl w:val="0"/>
          <w:numId w:val="1001"/>
        </w:numPr>
      </w:pPr>
      <w:r>
        <w:t xml:space="preserve">Tran QK, Fairchild M, Yardi I, Mirda D, Markin K, Pourmand A. Efficacy of Ultrasound-Guided Peripheral Intravenous Cannulation versus Standard of Care: A Systematic Review and Meta-analysis. Ultrasound Med Biol. 2021;47(11):3068-78.</w:t>
      </w:r>
      <w:r>
        <w:t xml:space="preserve"> </w:t>
      </w:r>
      <w:r>
        <w:rPr>
          <w:i/>
          <w:iCs/>
        </w:rPr>
        <w:t xml:space="preserve">(was ref 37)</w:t>
      </w:r>
    </w:p>
    <w:p>
      <w:pPr>
        <w:pStyle w:val="FirstParagraph"/>
      </w:pPr>
      <w:r>
        <w:rPr>
          <w:b/>
          <w:bCs/>
        </w:rPr>
        <w:t xml:space="preserve">Deleted (duplicates):</w:t>
      </w:r>
      <w:r>
        <w:t xml:space="preserve"> </w:t>
      </w:r>
      <w:r>
        <w:t xml:space="preserve">old ref 32 (= ref 8, Kleidon 2022) and old ref 33 (= ref 27, Refosco 2025).</w:t>
      </w:r>
    </w:p>
    <w:p>
      <w:r>
        <w:pict>
          <v:rect style="width:0;height:1.5pt" o:hralign="center" o:hrstd="t" o:hr="t"/>
        </w:pict>
      </w:r>
    </w:p>
    <w:bookmarkEnd w:id="10"/>
    <w:bookmarkStart w:id="11" w:name="b.-in-text-citation-changes-apply-all"/>
    <w:p>
      <w:pPr>
        <w:pStyle w:val="Heading2"/>
      </w:pPr>
      <w:r>
        <w:t xml:space="preserve">B. In-text citation changes (apply all)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Galley location (context)</w:t>
            </w:r>
          </w:p>
        </w:tc>
        <w:tc>
          <w:tcPr/>
          <w:p>
            <w:pPr>
              <w:pStyle w:val="Compact"/>
            </w:pPr>
            <w:r>
              <w:t xml:space="preserve">Current</w:t>
            </w:r>
          </w:p>
        </w:tc>
        <w:tc>
          <w:tcPr/>
          <w:p>
            <w:pPr>
              <w:pStyle w:val="Compact"/>
            </w:pPr>
            <w:r>
              <w:t xml:space="preserve">Change to</w:t>
            </w:r>
          </w:p>
        </w:tc>
        <w:tc>
          <w:tcPr/>
          <w:p>
            <w:pPr>
              <w:pStyle w:val="Compact"/>
            </w:pPr>
            <w:r>
              <w:t xml:space="preserve">Reason</w:t>
            </w:r>
          </w:p>
        </w:tc>
      </w:tr>
      <w:tr>
        <w:tc>
          <w:tcPr/>
          <w:p>
            <w:pPr>
              <w:pStyle w:val="Compact"/>
            </w:pPr>
            <w:r>
              <w:t xml:space="preserve">1</w:t>
            </w:r>
          </w:p>
        </w:tc>
        <w:tc>
          <w:tcPr/>
          <w:p>
            <w:pPr>
              <w:pStyle w:val="Compact"/>
            </w:pPr>
            <w:r>
              <w:t xml:space="preserve">p.11, catheter-failure pool:</w:t>
            </w:r>
            <w:r>
              <w:t xml:space="preserve"> </w:t>
            </w:r>
            <w:r>
              <w:t xml:space="preserve">“Kleidon et al., 2025 (32)”</w:t>
            </w:r>
          </w:p>
        </w:tc>
        <w:tc>
          <w:tcPr/>
          <w:p>
            <w:pPr>
              <w:pStyle w:val="Compact"/>
            </w:pPr>
            <w:r>
              <w:t xml:space="preserve">(32)</w:t>
            </w:r>
          </w:p>
        </w:tc>
        <w:tc>
          <w:tcPr/>
          <w:p>
            <w:pPr>
              <w:pStyle w:val="Compact"/>
            </w:pPr>
            <w:r>
              <w:rPr>
                <w:b/>
                <w:bCs/>
              </w:rPr>
              <w:t xml:space="preserve">(14)</w:t>
            </w:r>
          </w:p>
        </w:tc>
        <w:tc>
          <w:tcPr/>
          <w:p>
            <w:pPr>
              <w:pStyle w:val="Compact"/>
            </w:pPr>
            <w:r>
              <w:t xml:space="preserve">Kleidon 2025 = the EPIC RCT (ref 14); old 32 was the 2022 review</w:t>
            </w:r>
          </w:p>
        </w:tc>
      </w:tr>
      <w:tr>
        <w:tc>
          <w:tcPr/>
          <w:p>
            <w:pPr>
              <w:pStyle w:val="Compact"/>
            </w:pPr>
            <w:r>
              <w:t xml:space="preserve">2</w:t>
            </w:r>
          </w:p>
        </w:tc>
        <w:tc>
          <w:tcPr/>
          <w:p>
            <w:pPr>
              <w:pStyle w:val="Compact"/>
            </w:pPr>
            <w:r>
              <w:t xml:space="preserve">p.12–13, age subgroup:</w:t>
            </w:r>
            <w:r>
              <w:t xml:space="preserve"> </w:t>
            </w:r>
            <w:r>
              <w:t xml:space="preserve">“Only one pediatric study (Kleidon et al., 2025) (32)”</w:t>
            </w:r>
          </w:p>
        </w:tc>
        <w:tc>
          <w:tcPr/>
          <w:p>
            <w:pPr>
              <w:pStyle w:val="Compact"/>
            </w:pPr>
            <w:r>
              <w:t xml:space="preserve">(32)</w:t>
            </w:r>
          </w:p>
        </w:tc>
        <w:tc>
          <w:tcPr/>
          <w:p>
            <w:pPr>
              <w:pStyle w:val="Compact"/>
            </w:pPr>
            <w:r>
              <w:rPr>
                <w:b/>
                <w:bCs/>
              </w:rPr>
              <w:t xml:space="preserve">(14)</w:t>
            </w:r>
          </w:p>
        </w:tc>
        <w:tc>
          <w:tcPr/>
          <w:p>
            <w:pPr>
              <w:pStyle w:val="Compact"/>
            </w:pPr>
            <w:r>
              <w:t xml:space="preserve">same as #1</w:t>
            </w:r>
          </w:p>
        </w:tc>
      </w:tr>
      <w:tr>
        <w:tc>
          <w:tcPr/>
          <w:p>
            <w:pPr>
              <w:pStyle w:val="Compact"/>
            </w:pPr>
            <w:r>
              <w:t xml:space="preserve">3</w:t>
            </w:r>
          </w:p>
        </w:tc>
        <w:tc>
          <w:tcPr/>
          <w:p>
            <w:pPr>
              <w:pStyle w:val="Compact"/>
            </w:pPr>
            <w:r>
              <w:t xml:space="preserve">p.13, discussion:</w:t>
            </w:r>
            <w:r>
              <w:t xml:space="preserve"> </w:t>
            </w:r>
            <w:r>
              <w:t xml:space="preserve">“USG cannulas were predominantly 64 mm … (33)”</w:t>
            </w:r>
          </w:p>
        </w:tc>
        <w:tc>
          <w:tcPr/>
          <w:p>
            <w:pPr>
              <w:pStyle w:val="Compact"/>
            </w:pPr>
            <w:r>
              <w:t xml:space="preserve">(33)</w:t>
            </w:r>
          </w:p>
        </w:tc>
        <w:tc>
          <w:tcPr/>
          <w:p>
            <w:pPr>
              <w:pStyle w:val="Compact"/>
            </w:pPr>
            <w:r>
              <w:rPr>
                <w:b/>
                <w:bCs/>
              </w:rPr>
              <w:t xml:space="preserve">(27)</w:t>
            </w:r>
          </w:p>
        </w:tc>
        <w:tc>
          <w:tcPr/>
          <w:p>
            <w:pPr>
              <w:pStyle w:val="Compact"/>
            </w:pPr>
            <w:r>
              <w:t xml:space="preserve">Refosco 2025 = ref 27</w:t>
            </w:r>
          </w:p>
        </w:tc>
      </w:tr>
      <w:tr>
        <w:tc>
          <w:tcPr/>
          <w:p>
            <w:pPr>
              <w:pStyle w:val="Compact"/>
            </w:pPr>
            <w:r>
              <w:t xml:space="preserve">4</w:t>
            </w:r>
          </w:p>
        </w:tc>
        <w:tc>
          <w:tcPr/>
          <w:p>
            <w:pPr>
              <w:pStyle w:val="Compact"/>
            </w:pPr>
            <w:r>
              <w:t xml:space="preserve">p.14, discussion:</w:t>
            </w:r>
            <w:r>
              <w:t xml:space="preserve"> </w:t>
            </w:r>
            <w:r>
              <w:t xml:space="preserve">“catheter-to-vein ratio … cut-off ≈0.41 … (6)”</w:t>
            </w:r>
          </w:p>
        </w:tc>
        <w:tc>
          <w:tcPr/>
          <w:p>
            <w:pPr>
              <w:pStyle w:val="Compact"/>
            </w:pPr>
            <w:r>
              <w:t xml:space="preserve">(6)</w:t>
            </w:r>
          </w:p>
        </w:tc>
        <w:tc>
          <w:tcPr/>
          <w:p>
            <w:pPr>
              <w:pStyle w:val="Compact"/>
            </w:pPr>
            <w:r>
              <w:rPr>
                <w:b/>
                <w:bCs/>
              </w:rPr>
              <w:t xml:space="preserve">(32)</w:t>
            </w:r>
          </w:p>
        </w:tc>
        <w:tc>
          <w:tcPr/>
          <w:p>
            <w:pPr>
              <w:pStyle w:val="Compact"/>
            </w:pPr>
            <w:r>
              <w:t xml:space="preserve">the 0.41 finding is van Loon</w:t>
            </w:r>
            <w:r>
              <w:t xml:space="preserve"> </w:t>
            </w:r>
            <w:r>
              <w:rPr>
                <w:b/>
                <w:bCs/>
              </w:rPr>
              <w:t xml:space="preserve">2021</w:t>
            </w:r>
            <w:r>
              <w:t xml:space="preserve"> </w:t>
            </w:r>
            <w:r>
              <w:t xml:space="preserve">(new ref 32); ref 6 = van Loon</w:t>
            </w:r>
            <w:r>
              <w:t xml:space="preserve"> </w:t>
            </w:r>
            <w:r>
              <w:rPr>
                <w:b/>
                <w:bCs/>
              </w:rPr>
              <w:t xml:space="preserve">2018</w:t>
            </w:r>
            <w:r>
              <w:t xml:space="preserve">, a different paper</w:t>
            </w:r>
          </w:p>
        </w:tc>
      </w:tr>
      <w:tr>
        <w:tc>
          <w:tcPr/>
          <w:p>
            <w:pPr>
              <w:pStyle w:val="Compact"/>
            </w:pPr>
            <w:r>
              <w:t xml:space="preserve">5</w:t>
            </w:r>
          </w:p>
        </w:tc>
        <w:tc>
          <w:tcPr/>
          <w:p>
            <w:pPr>
              <w:pStyle w:val="Compact"/>
            </w:pPr>
            <w:r>
              <w:t xml:space="preserve">p.14, discussion:</w:t>
            </w:r>
            <w:r>
              <w:t xml:space="preserve"> </w:t>
            </w:r>
            <w:r>
              <w:t xml:space="preserve">“independently associated with improved catheter survival (34, 35)”</w:t>
            </w:r>
          </w:p>
        </w:tc>
        <w:tc>
          <w:tcPr/>
          <w:p>
            <w:pPr>
              <w:pStyle w:val="Compact"/>
            </w:pPr>
            <w:r>
              <w:t xml:space="preserve">(34, 35)</w:t>
            </w:r>
          </w:p>
        </w:tc>
        <w:tc>
          <w:tcPr/>
          <w:p>
            <w:pPr>
              <w:pStyle w:val="Compact"/>
            </w:pPr>
            <w:r>
              <w:rPr>
                <w:b/>
                <w:bCs/>
              </w:rPr>
              <w:t xml:space="preserve">(32, 33)</w:t>
            </w:r>
          </w:p>
        </w:tc>
        <w:tc>
          <w:tcPr/>
          <w:p>
            <w:pPr>
              <w:pStyle w:val="Compact"/>
            </w:pPr>
            <w:r>
              <w:t xml:space="preserve">renumber (van Loon 2021 34→32; Pandurangadu 35→33)</w:t>
            </w:r>
          </w:p>
        </w:tc>
      </w:tr>
      <w:tr>
        <w:tc>
          <w:tcPr/>
          <w:p>
            <w:pPr>
              <w:pStyle w:val="Compact"/>
            </w:pPr>
            <w:r>
              <w:t xml:space="preserve">6</w:t>
            </w:r>
          </w:p>
        </w:tc>
        <w:tc>
          <w:tcPr/>
          <w:p>
            <w:pPr>
              <w:pStyle w:val="Compact"/>
            </w:pPr>
            <w:r>
              <w:t xml:space="preserve">p.14, discussion:</w:t>
            </w:r>
            <w:r>
              <w:t xml:space="preserve"> </w:t>
            </w:r>
            <w:r>
              <w:t xml:space="preserve">“subcutaneous tissue (35) … resided within the vein (35)”</w:t>
            </w:r>
          </w:p>
        </w:tc>
        <w:tc>
          <w:tcPr/>
          <w:p>
            <w:pPr>
              <w:pStyle w:val="Compact"/>
            </w:pPr>
            <w:r>
              <w:t xml:space="preserve">(35)</w:t>
            </w:r>
          </w:p>
        </w:tc>
        <w:tc>
          <w:tcPr/>
          <w:p>
            <w:pPr>
              <w:pStyle w:val="Compact"/>
            </w:pPr>
            <w:r>
              <w:rPr>
                <w:b/>
                <w:bCs/>
              </w:rPr>
              <w:t xml:space="preserve">(33)</w:t>
            </w:r>
          </w:p>
        </w:tc>
        <w:tc>
          <w:tcPr/>
          <w:p>
            <w:pPr>
              <w:pStyle w:val="Compact"/>
            </w:pPr>
            <w:r>
              <w:t xml:space="preserve">renumber Pandurangadu 35→33</w:t>
            </w:r>
          </w:p>
        </w:tc>
      </w:tr>
      <w:tr>
        <w:tc>
          <w:tcPr/>
          <w:p>
            <w:pPr>
              <w:pStyle w:val="Compact"/>
            </w:pPr>
            <w:r>
              <w:t xml:space="preserve">7</w:t>
            </w:r>
          </w:p>
        </w:tc>
        <w:tc>
          <w:tcPr/>
          <w:p>
            <w:pPr>
              <w:pStyle w:val="Compact"/>
            </w:pPr>
            <w:r>
              <w:t xml:space="preserve">p.15, limitation 6:</w:t>
            </w:r>
            <w:r>
              <w:t xml:space="preserve"> </w:t>
            </w:r>
            <w:r>
              <w:t xml:space="preserve">“Leroux et al. (2023) (27)”</w:t>
            </w:r>
          </w:p>
        </w:tc>
        <w:tc>
          <w:tcPr/>
          <w:p>
            <w:pPr>
              <w:pStyle w:val="Compact"/>
            </w:pPr>
            <w:r>
              <w:t xml:space="preserve">(27)</w:t>
            </w:r>
          </w:p>
        </w:tc>
        <w:tc>
          <w:tcPr/>
          <w:p>
            <w:pPr>
              <w:pStyle w:val="Compact"/>
            </w:pPr>
            <w:r>
              <w:rPr>
                <w:b/>
                <w:bCs/>
              </w:rPr>
              <w:t xml:space="preserve">(22)</w:t>
            </w:r>
          </w:p>
        </w:tc>
        <w:tc>
          <w:tcPr/>
          <w:p>
            <w:pPr>
              <w:pStyle w:val="Compact"/>
            </w:pPr>
            <w:r>
              <w:t xml:space="preserve">Leroux 2023 = ref 22 (27 = Refosco) — pre-existing mis-citation</w:t>
            </w:r>
          </w:p>
        </w:tc>
      </w:tr>
      <w:tr>
        <w:tc>
          <w:tcPr/>
          <w:p>
            <w:pPr>
              <w:pStyle w:val="Compact"/>
            </w:pPr>
            <w:r>
              <w:t xml:space="preserve">8</w:t>
            </w:r>
          </w:p>
        </w:tc>
        <w:tc>
          <w:tcPr/>
          <w:p>
            <w:pPr>
              <w:pStyle w:val="Compact"/>
            </w:pPr>
            <w:r>
              <w:t xml:space="preserve">p.15, screening κ paradox:</w:t>
            </w:r>
            <w:r>
              <w:t xml:space="preserve"> </w:t>
            </w:r>
            <w:r>
              <w:t xml:space="preserve">“(36)”</w:t>
            </w:r>
          </w:p>
        </w:tc>
        <w:tc>
          <w:tcPr/>
          <w:p>
            <w:pPr>
              <w:pStyle w:val="Compact"/>
            </w:pPr>
            <w:r>
              <w:t xml:space="preserve">(36)</w:t>
            </w:r>
          </w:p>
        </w:tc>
        <w:tc>
          <w:tcPr/>
          <w:p>
            <w:pPr>
              <w:pStyle w:val="Compact"/>
            </w:pPr>
            <w:r>
              <w:rPr>
                <w:b/>
                <w:bCs/>
              </w:rPr>
              <w:t xml:space="preserve">(34)</w:t>
            </w:r>
          </w:p>
        </w:tc>
        <w:tc>
          <w:tcPr/>
          <w:p>
            <w:pPr>
              <w:pStyle w:val="Compact"/>
            </w:pPr>
            <w:r>
              <w:t xml:space="preserve">renumber Byrt 36→34</w:t>
            </w:r>
          </w:p>
        </w:tc>
      </w:tr>
      <w:tr>
        <w:tc>
          <w:tcPr/>
          <w:p>
            <w:pPr>
              <w:pStyle w:val="Compact"/>
            </w:pPr>
            <w:r>
              <w:t xml:space="preserve">9</w:t>
            </w:r>
          </w:p>
        </w:tc>
        <w:tc>
          <w:tcPr/>
          <w:p>
            <w:pPr>
              <w:pStyle w:val="Compact"/>
            </w:pPr>
            <w:r>
              <w:t xml:space="preserve">p.16–17:</w:t>
            </w:r>
            <w:r>
              <w:t xml:space="preserve"> </w:t>
            </w:r>
            <w:r>
              <w:t xml:space="preserve">“(6, 7, 37)”</w:t>
            </w:r>
          </w:p>
        </w:tc>
        <w:tc>
          <w:tcPr/>
          <w:p>
            <w:pPr>
              <w:pStyle w:val="Compact"/>
            </w:pPr>
            <w:r>
              <w:t xml:space="preserve">(…, 37)</w:t>
            </w:r>
          </w:p>
        </w:tc>
        <w:tc>
          <w:tcPr/>
          <w:p>
            <w:pPr>
              <w:pStyle w:val="Compact"/>
            </w:pPr>
            <w:r>
              <w:rPr>
                <w:b/>
                <w:bCs/>
              </w:rPr>
              <w:t xml:space="preserve">(…, 35)</w:t>
            </w:r>
          </w:p>
        </w:tc>
        <w:tc>
          <w:tcPr/>
          <w:p>
            <w:pPr>
              <w:pStyle w:val="Compact"/>
            </w:pPr>
            <w:r>
              <w:t xml:space="preserve">renumber Tran 37→35</w:t>
            </w:r>
          </w:p>
        </w:tc>
      </w:tr>
    </w:tbl>
    <w:p>
      <w:pPr>
        <w:pStyle w:val="BodyText"/>
      </w:pPr>
      <w:r>
        <w:rPr>
          <w:i/>
          <w:iCs/>
        </w:rPr>
        <w:t xml:space="preserve">All other in-text citations (1–31, and the correct (14)/(27)/(8) uses) are unchanged. Note the two stray characters near item 6 —</w:t>
      </w:r>
      <w:r>
        <w:rPr>
          <w:i/>
          <w:iCs/>
        </w:rPr>
        <w:t xml:space="preserve"> </w:t>
      </w:r>
      <w:r>
        <w:rPr>
          <w:i/>
          <w:iCs/>
        </w:rPr>
        <w:t xml:space="preserve">“segment.7”</w:t>
      </w:r>
      <w:r>
        <w:rPr>
          <w:i/>
          <w:iCs/>
        </w:rPr>
        <w:t xml:space="preserve"> </w:t>
      </w:r>
      <w:r>
        <w:rPr>
          <w:i/>
          <w:iCs/>
        </w:rPr>
        <w:t xml:space="preserve">and</w:t>
      </w:r>
      <w:r>
        <w:rPr>
          <w:i/>
          <w:iCs/>
        </w:rPr>
        <w:t xml:space="preserve"> </w:t>
      </w:r>
      <w:r>
        <w:rPr>
          <w:i/>
          <w:iCs/>
        </w:rPr>
        <w:t xml:space="preserve">“vein (35).10”</w:t>
      </w:r>
      <w:r>
        <w:rPr>
          <w:i/>
          <w:iCs/>
        </w:rPr>
        <w:t xml:space="preserve"> </w:t>
      </w:r>
      <w:r>
        <w:rPr>
          <w:i/>
          <w:iCs/>
        </w:rPr>
        <w:t xml:space="preserve">— should be removed (see the main corrections list, item A4).</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2026-06-29T17:47:59Z</dcterms:created>
  <dcterms:modified xsi:type="dcterms:W3CDTF">2026-06-29T17:47:59Z</dcterms:modified>
</cp:coreProperties>
</file>

<file path=docProps/custom.xml><?xml version="1.0" encoding="utf-8"?>
<Properties xmlns="http://schemas.openxmlformats.org/officeDocument/2006/custom-properties" xmlns:vt="http://schemas.openxmlformats.org/officeDocument/2006/docPropsVTypes"/>
</file>