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The Ultrasound Journal — Galley corrections, Manuscript 19152</w:t>
      </w:r>
      <w:r>
        <w:t xml:space="preserve"> </w:t>
      </w:r>
      <w:r>
        <w:t xml:space="preserve">“Post-insertion outcomes of ultrasound-guided versus landmark peripheral intravenous catheters: A systematic review and meta-analysis”</w:t>
      </w:r>
      <w:r>
        <w:t xml:space="preserve"> </w:t>
      </w:r>
      <w:r>
        <w:t xml:space="preserve">Corresponding author: Chia-Ching Chen · Prepared 2026-06-30 (page numbers refer to the proof PDF)</w:t>
      </w:r>
    </w:p>
    <w:p>
      <w:pPr>
        <w:pStyle w:val="BodyText"/>
      </w:pPr>
      <w:r>
        <w:t xml:space="preserve">The galley is accurate in its core data (15 studies; 78,591 participants; catheter-failure RR 1.23, 95% CI 1.00–1.51, p = 0.056; all table/figure/subgroup counts reconcile; Table 1 = GRADE, Table 2 = study characteristics, Table 3 = risk of bias). The following corrections are requested.</w:t>
      </w:r>
    </w:p>
    <w:p>
      <w:pPr>
        <w:pStyle w:val="BodyText"/>
      </w:pPr>
      <w:r>
        <w:rPr>
          <w:b/>
          <w:bCs/>
        </w:rPr>
        <w:t xml:space="preserve">A. Text / metadata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Corresponding-author e-mail (p. 1,</w:t>
      </w:r>
      <w:r>
        <w:rPr>
          <w:b/>
          <w:bCs/>
        </w:rPr>
        <w:t xml:space="preserve"> </w:t>
      </w:r>
      <w:r>
        <w:rPr>
          <w:b/>
          <w:bCs/>
        </w:rPr>
        <w:t xml:space="preserve">“Correspondence”</w:t>
      </w:r>
      <w:r>
        <w:rPr>
          <w:b/>
          <w:bCs/>
        </w:rPr>
        <w:t xml:space="preserve">):</w:t>
      </w:r>
      <w:r>
        <w:t xml:space="preserve"> </w:t>
      </w:r>
      <w:r>
        <w:t xml:space="preserve">change</w:t>
      </w:r>
      <w:r>
        <w:t xml:space="preserve"> </w:t>
      </w:r>
      <w:r>
        <w:t xml:space="preserve">“medlife.c11g@gmail.com”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“medilife.c11g@gmail.com”</w:t>
      </w:r>
      <w:r>
        <w:t xml:space="preserve"> </w:t>
      </w:r>
      <w:r>
        <w:t xml:space="preserve">(the letter</w:t>
      </w:r>
      <w:r>
        <w:t xml:space="preserve"> </w:t>
      </w:r>
      <w:r>
        <w:t xml:space="preserve">“i”</w:t>
      </w:r>
      <w:r>
        <w:t xml:space="preserve"> </w:t>
      </w:r>
      <w:r>
        <w:t xml:space="preserve">is missing).</w:t>
      </w:r>
      <w:r>
        <w:t xml:space="preserve"> </w:t>
      </w:r>
      <w:r>
        <w:rPr>
          <w:i/>
          <w:iCs/>
        </w:rPr>
        <w:t xml:space="preserve">Important — this is the contact e-mail.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“Author’s Contributions”</w:t>
      </w:r>
      <w:r>
        <w:rPr>
          <w:b/>
          <w:bCs/>
        </w:rPr>
        <w:t xml:space="preserve"> </w:t>
      </w:r>
      <w:r>
        <w:rPr>
          <w:b/>
          <w:bCs/>
        </w:rPr>
        <w:t xml:space="preserve">(p. 17):</w:t>
      </w:r>
      <w:r>
        <w:t xml:space="preserve"> </w:t>
      </w:r>
      <w:r>
        <w:t xml:space="preserve">delete the placeholder text</w:t>
      </w:r>
      <w:r>
        <w:t xml:space="preserve"> </w:t>
      </w:r>
      <w:r>
        <w:rPr>
          <w:b/>
          <w:bCs/>
        </w:rPr>
        <w:t xml:space="preserve">“……… (mandatory)”</w:t>
      </w:r>
      <w:r>
        <w:t xml:space="preserve"> </w:t>
      </w:r>
      <w:r>
        <w:t xml:space="preserve">on that line. The actual contributions (TAL / YLW / JTL / PMC / CCC) already follow immediately below and are correct.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Discussion (p. 13):</w:t>
      </w:r>
      <w:r>
        <w:t xml:space="preserve"> </w:t>
      </w:r>
      <w:r>
        <w:t xml:space="preserve">“64 mm long peripheral</w:t>
      </w:r>
      <w:r>
        <w:t xml:space="preserve"> </w:t>
      </w:r>
      <w:r>
        <w:rPr>
          <w:b/>
          <w:bCs/>
        </w:rPr>
        <w:t xml:space="preserve">cataters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rPr>
          <w:b/>
          <w:bCs/>
        </w:rPr>
        <w:t xml:space="preserve">catheters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Discussion (p. 14), two stray characters:</w:t>
      </w:r>
      <w:r>
        <w:t xml:space="preserve"> </w:t>
      </w:r>
      <w:r>
        <w:t xml:space="preserve">“…to ensure an adequate intravascular segment</w:t>
      </w:r>
      <w:r>
        <w:rPr>
          <w:b/>
          <w:bCs/>
        </w:rPr>
        <w:t xml:space="preserve">.7</w:t>
      </w:r>
      <w:r>
        <w:t xml:space="preserve"> </w:t>
      </w:r>
      <w:r>
        <w:t xml:space="preserve">When a standard 4.5 cm…”</w:t>
      </w:r>
      <w:r>
        <w:t xml:space="preserve"> </w:t>
      </w:r>
      <w:r>
        <w:t xml:space="preserve">— delete the stray</w:t>
      </w:r>
      <w:r>
        <w:t xml:space="preserve"> </w:t>
      </w:r>
      <w:r>
        <w:t xml:space="preserve">“7”</w:t>
      </w:r>
      <w:r>
        <w:t xml:space="preserve">; and</w:t>
      </w:r>
      <w:r>
        <w:t xml:space="preserve"> </w:t>
      </w:r>
      <w:r>
        <w:t xml:space="preserve">“…resided within the vein (35)</w:t>
      </w:r>
      <w:r>
        <w:rPr>
          <w:b/>
          <w:bCs/>
        </w:rPr>
        <w:t xml:space="preserve">.10</w:t>
      </w:r>
      <w:r>
        <w:t xml:space="preserve"> </w:t>
      </w:r>
      <w:r>
        <w:t xml:space="preserve">In this context…”</w:t>
      </w:r>
      <w:r>
        <w:t xml:space="preserve"> </w:t>
      </w:r>
      <w:r>
        <w:t xml:space="preserve">— delete the stray</w:t>
      </w:r>
      <w:r>
        <w:t xml:space="preserve"> </w:t>
      </w:r>
      <w:r>
        <w:t xml:space="preserve">“10”</w:t>
      </w:r>
      <w:r>
        <w:t xml:space="preserve">. (Leftover superscript markers.)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Correspondence address (p. 1):</w:t>
      </w:r>
      <w:r>
        <w:t xml:space="preserve"> </w:t>
      </w:r>
      <w:r>
        <w:t xml:space="preserve">“No. 6 Lugong Road</w:t>
      </w:r>
      <w:r>
        <w:rPr>
          <w:b/>
          <w:bCs/>
        </w:rPr>
        <w:t xml:space="preserve">.</w:t>
      </w:r>
      <w:r>
        <w:t xml:space="preserve"> </w:t>
      </w:r>
      <w:r>
        <w:t xml:space="preserve">Lukang Zhen”</w:t>
      </w:r>
      <w:r>
        <w:t xml:space="preserve"> </w:t>
      </w:r>
      <w:r>
        <w:t xml:space="preserve">— the period after</w:t>
      </w:r>
      <w:r>
        <w:t xml:space="preserve"> </w:t>
      </w:r>
      <w:r>
        <w:t xml:space="preserve">“Road”</w:t>
      </w:r>
      <w:r>
        <w:t xml:space="preserve"> </w:t>
      </w:r>
      <w:r>
        <w:t xml:space="preserve">should be a comma, and please confirm</w:t>
      </w:r>
      <w:r>
        <w:t xml:space="preserve"> </w:t>
      </w:r>
      <w:r>
        <w:t xml:space="preserve">“Lukang</w:t>
      </w:r>
      <w:r>
        <w:t xml:space="preserve"> </w:t>
      </w:r>
      <w:r>
        <w:rPr>
          <w:b/>
          <w:bCs/>
        </w:rPr>
        <w:t xml:space="preserve">Town</w:t>
      </w:r>
      <w:r>
        <w:t xml:space="preserve">”</w:t>
      </w:r>
      <w:r>
        <w:t xml:space="preserve"> </w:t>
      </w:r>
      <w:r>
        <w:t xml:space="preserve">(Lugang).</w:t>
      </w:r>
    </w:p>
    <w:p>
      <w:pPr>
        <w:pStyle w:val="FirstParagraph"/>
      </w:pPr>
      <w:r>
        <w:rPr>
          <w:b/>
          <w:bCs/>
        </w:rPr>
        <w:t xml:space="preserve">B. References (duplicates + mis-citations)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duplicate references must be merged:</w:t>
      </w:r>
    </w:p>
    <w:p>
      <w:pPr>
        <w:pStyle w:val="Compact"/>
        <w:numPr>
          <w:ilvl w:val="1"/>
          <w:numId w:val="1003"/>
        </w:numPr>
      </w:pPr>
      <w:r>
        <w:t xml:space="preserve">Ref</w:t>
      </w:r>
      <w:r>
        <w:t xml:space="preserve"> </w:t>
      </w:r>
      <w:r>
        <w:rPr>
          <w:b/>
          <w:bCs/>
        </w:rPr>
        <w:t xml:space="preserve">32</w:t>
      </w:r>
      <w:r>
        <w:t xml:space="preserve"> </w:t>
      </w:r>
      <w:r>
        <w:t xml:space="preserve">(Kleidon TM et al., pediatric SR,</w:t>
      </w:r>
      <w:r>
        <w:t xml:space="preserve"> </w:t>
      </w:r>
      <w:r>
        <w:rPr>
          <w:i/>
          <w:iCs/>
        </w:rPr>
        <w:t xml:space="preserve">Paediatr Child Health</w:t>
      </w:r>
      <w:r>
        <w:t xml:space="preserve"> </w:t>
      </w:r>
      <w:r>
        <w:t xml:space="preserve">2022;58(6):953-61) is</w:t>
      </w:r>
      <w:r>
        <w:t xml:space="preserve"> </w:t>
      </w:r>
      <w:r>
        <w:rPr>
          <w:b/>
          <w:bCs/>
        </w:rPr>
        <w:t xml:space="preserve">identical to Ref 8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Ref</w:t>
      </w:r>
      <w:r>
        <w:t xml:space="preserve"> </w:t>
      </w:r>
      <w:r>
        <w:rPr>
          <w:b/>
          <w:bCs/>
        </w:rPr>
        <w:t xml:space="preserve">33</w:t>
      </w:r>
      <w:r>
        <w:t xml:space="preserve"> </w:t>
      </w:r>
      <w:r>
        <w:t xml:space="preserve">(Refosco M et al.,</w:t>
      </w:r>
      <w:r>
        <w:t xml:space="preserve"> </w:t>
      </w:r>
      <w:r>
        <w:rPr>
          <w:i/>
          <w:iCs/>
        </w:rPr>
        <w:t xml:space="preserve">J Vasc Access</w:t>
      </w:r>
      <w:r>
        <w:t xml:space="preserve"> </w:t>
      </w:r>
      <w:r>
        <w:t xml:space="preserve">2025;26(5):1476-81) is</w:t>
      </w:r>
      <w:r>
        <w:t xml:space="preserve"> </w:t>
      </w:r>
      <w:r>
        <w:rPr>
          <w:b/>
          <w:bCs/>
        </w:rPr>
        <w:t xml:space="preserve">identical to Ref 27</w:t>
      </w:r>
      <w:r>
        <w:t xml:space="preserve">.</w:t>
      </w:r>
      <w:r>
        <w:t xml:space="preserve"> </w:t>
      </w:r>
      <w:r>
        <w:t xml:space="preserve">→ Delete refs 32 and 33; renumber current 34→32, 35→33, 36→34, 37→35; update in-text citations accordingly.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In-text citation corrections</w:t>
      </w:r>
      <w:r>
        <w:t xml:space="preserve"> </w:t>
      </w:r>
      <w:r>
        <w:t xml:space="preserve">(apply together with the renumber):</w:t>
      </w:r>
    </w:p>
    <w:p>
      <w:pPr>
        <w:pStyle w:val="Compact"/>
        <w:numPr>
          <w:ilvl w:val="1"/>
          <w:numId w:val="1004"/>
        </w:numPr>
      </w:pPr>
      <w:r>
        <w:t xml:space="preserve">p. 7/11, catheter-failure pool:</w:t>
      </w:r>
      <w:r>
        <w:t xml:space="preserve"> </w:t>
      </w:r>
      <w:r>
        <w:t xml:space="preserve">“Kleidon et al., 2025</w:t>
      </w:r>
      <w:r>
        <w:t xml:space="preserve"> </w:t>
      </w:r>
      <w:r>
        <w:rPr>
          <w:b/>
          <w:bCs/>
        </w:rPr>
        <w:t xml:space="preserve">(32)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(14)</w:t>
      </w:r>
      <w:r>
        <w:t xml:space="preserve"> </w:t>
      </w:r>
      <w:r>
        <w:t xml:space="preserve">— the EPIC randomized trial. (Ref 32 was the 2022 review, not the included 2025 trial.)</w:t>
      </w:r>
    </w:p>
    <w:p>
      <w:pPr>
        <w:pStyle w:val="Compact"/>
        <w:numPr>
          <w:ilvl w:val="1"/>
          <w:numId w:val="1004"/>
        </w:numPr>
      </w:pPr>
      <w:r>
        <w:t xml:space="preserve">p. 13:</w:t>
      </w:r>
      <w:r>
        <w:t xml:space="preserve"> </w:t>
      </w:r>
      <w:r>
        <w:t xml:space="preserve">“USG cannulas were predominantly 64 mm…</w:t>
      </w:r>
      <w:r>
        <w:t xml:space="preserve"> </w:t>
      </w:r>
      <w:r>
        <w:rPr>
          <w:b/>
          <w:bCs/>
        </w:rPr>
        <w:t xml:space="preserve">(33)</w:t>
      </w:r>
      <w:r>
        <w:t xml:space="preserve">”</w:t>
      </w:r>
      <w:r>
        <w:t xml:space="preserve"> </w:t>
      </w:r>
      <w:r>
        <w:t xml:space="preserve">(Refosco) →</w:t>
      </w:r>
      <w:r>
        <w:t xml:space="preserve"> </w:t>
      </w:r>
      <w:r>
        <w:rPr>
          <w:b/>
          <w:bCs/>
        </w:rPr>
        <w:t xml:space="preserve">(27)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p. 14:</w:t>
      </w:r>
      <w:r>
        <w:t xml:space="preserve"> </w:t>
      </w:r>
      <w:r>
        <w:t xml:space="preserve">“The catheter-to-vein ratio … optimal cut-off of approximately 0.41 …</w:t>
      </w:r>
      <w:r>
        <w:t xml:space="preserve"> </w:t>
      </w:r>
      <w:r>
        <w:rPr>
          <w:b/>
          <w:bCs/>
        </w:rPr>
        <w:t xml:space="preserve">(6)</w:t>
      </w:r>
      <w:r>
        <w:t xml:space="preserve">”</w:t>
      </w:r>
      <w:r>
        <w:t xml:space="preserve"> </w:t>
      </w:r>
      <w:r>
        <w:t xml:space="preserve">→ the van Loon</w:t>
      </w:r>
      <w:r>
        <w:t xml:space="preserve"> </w:t>
      </w:r>
      <w:r>
        <w:rPr>
          <w:b/>
          <w:bCs/>
        </w:rPr>
        <w:t xml:space="preserve">2021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t xml:space="preserve">paper (currently Ref 34). Ref 6 is the van Loon</w:t>
      </w:r>
      <w:r>
        <w:t xml:space="preserve"> </w:t>
      </w:r>
      <w:r>
        <w:rPr>
          <w:b/>
          <w:bCs/>
        </w:rPr>
        <w:t xml:space="preserve">2018</w:t>
      </w:r>
      <w:r>
        <w:t xml:space="preserve"> </w:t>
      </w:r>
      <w:r>
        <w:rPr>
          <w:i/>
          <w:iCs/>
        </w:rPr>
        <w:t xml:space="preserve">Br J Anaesth</w:t>
      </w:r>
      <w:r>
        <w:t xml:space="preserve"> </w:t>
      </w:r>
      <w:r>
        <w:t xml:space="preserve">meta-analysis, which is not the catheter-to-vein-ratio study.</w:t>
      </w:r>
    </w:p>
    <w:p>
      <w:pPr>
        <w:pStyle w:val="FirstParagraph"/>
      </w:pPr>
      <w:r>
        <w:rPr>
          <w:b/>
          <w:bCs/>
        </w:rPr>
        <w:t xml:space="preserve">C. Figures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Figure 1 (risk of bias), colour key:</w:t>
      </w:r>
      <w:r>
        <w:t xml:space="preserve"> </w:t>
      </w:r>
      <w:r>
        <w:t xml:space="preserve">“Some</w:t>
      </w:r>
      <w:r>
        <w:t xml:space="preserve"> </w:t>
      </w:r>
      <w:r>
        <w:rPr>
          <w:b/>
          <w:bCs/>
        </w:rPr>
        <w:t xml:space="preserve">concers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“Some</w:t>
      </w:r>
      <w:r>
        <w:t xml:space="preserve"> </w:t>
      </w:r>
      <w:r>
        <w:rPr>
          <w:b/>
          <w:bCs/>
        </w:rPr>
        <w:t xml:space="preserve">concerns</w:t>
      </w:r>
      <w:r>
        <w:t xml:space="preserve">”</w:t>
      </w:r>
      <w:r>
        <w:t xml:space="preserve"> </w:t>
      </w:r>
      <w:r>
        <w:t xml:space="preserve">(appears in the legend/key of panels A and C).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Figure 2 (PRISMA flow),</w:t>
      </w:r>
      <w:r>
        <w:rPr>
          <w:b/>
          <w:bCs/>
        </w:rPr>
        <w:t xml:space="preserve"> </w:t>
      </w:r>
      <w:r>
        <w:rPr>
          <w:b/>
          <w:bCs/>
        </w:rPr>
        <w:t xml:space="preserve">“Meta-analysis outcomes”</w:t>
      </w:r>
      <w:r>
        <w:rPr>
          <w:b/>
          <w:bCs/>
        </w:rPr>
        <w:t xml:space="preserve"> </w:t>
      </w:r>
      <w:r>
        <w:rPr>
          <w:b/>
          <w:bCs/>
        </w:rPr>
        <w:t xml:space="preserve">box:</w:t>
      </w:r>
      <w:r>
        <w:t xml:space="preserve"> </w:t>
      </w:r>
      <w:r>
        <w:t xml:space="preserve">the line</w:t>
      </w:r>
      <w:r>
        <w:t xml:space="preserve"> </w:t>
      </w:r>
      <w:r>
        <w:rPr>
          <w:b/>
          <w:bCs/>
        </w:rPr>
        <w:t xml:space="preserve">“HR-based failure: k = 2 (HR 1.02, 95% CI 0.75–1.38)”</w:t>
      </w:r>
      <w:r>
        <w:t xml:space="preserve"> </w:t>
      </w:r>
      <w:r>
        <w:t xml:space="preserve">is incorrect — the manuscript 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pool the time-to-event estimates (Table 1; p. 12 text; Supplementary Figure S3 all state</w:t>
      </w:r>
      <w:r>
        <w:t xml:space="preserve"> </w:t>
      </w:r>
      <w:r>
        <w:t xml:space="preserve">“not pooled — different effect measures”</w:t>
      </w:r>
      <w:r>
        <w:t xml:space="preserve">). Please change this line to</w:t>
      </w:r>
      <w:r>
        <w:t xml:space="preserve"> </w:t>
      </w:r>
      <w:r>
        <w:rPr>
          <w:b/>
          <w:bCs/>
        </w:rPr>
        <w:t xml:space="preserve">“Time-to-event-adjacent: k = 2 (not pooled — Feinsmith HR 0.91; Shokoohi 72-h RR 1.26)”</w:t>
      </w:r>
      <w:r>
        <w:t xml:space="preserve"> </w:t>
      </w:r>
      <w:r>
        <w:t xml:space="preserve">(or simply</w:t>
      </w:r>
      <w:r>
        <w:t xml:space="preserve"> </w:t>
      </w:r>
      <w:r>
        <w:t xml:space="preserve">“k = 2, not pooled”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D. Please confirm (no change unless needed)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AI-use declaration (p. 17)</w:t>
      </w:r>
      <w:r>
        <w:t xml:space="preserve"> </w:t>
      </w:r>
      <w:r>
        <w:t xml:space="preserve">names</w:t>
      </w:r>
      <w:r>
        <w:t xml:space="preserve"> </w:t>
      </w:r>
      <w:r>
        <w:t xml:space="preserve">“ChatGPT, Gemini”</w:t>
      </w:r>
      <w:r>
        <w:t xml:space="preserve"> </w:t>
      </w:r>
      <w:r>
        <w:t xml:space="preserve">— please confirm these are the tools actually used.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Affiliations</w:t>
      </w:r>
      <w:r>
        <w:t xml:space="preserve"> </w:t>
      </w:r>
      <w:r>
        <w:t xml:space="preserve">— please confirm each is correct (in particular author 2, Yu-Ling Wang = Department of Gastroenterology; author 5, Po-Ming Chen, affiliations 4 and 5).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PROSPERO number</w:t>
      </w:r>
      <w:r>
        <w:t xml:space="preserve"> </w:t>
      </w:r>
      <w:r>
        <w:t xml:space="preserve">CRD420261354170 (p. 3 and p. 17) — please confirm.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Table 1,</w:t>
      </w:r>
      <w:r>
        <w:rPr>
          <w:b/>
          <w:bCs/>
        </w:rPr>
        <w:t xml:space="preserve"> </w:t>
      </w:r>
      <w:r>
        <w:rPr>
          <w:b/>
          <w:bCs/>
        </w:rPr>
        <w:t xml:space="preserve">“Extravasation”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participants = 29,682</w:t>
      </w:r>
      <w:r>
        <w:t xml:space="preserve"> </w:t>
      </w:r>
      <w:r>
        <w:t xml:space="preserve">uses randomized totals (Nishizawa 60 + Favot 29,508 + Bridey 114); Supplementary Figure S2 sums the analysed totals (29,648). This is not an error, but a one-line footnote could note the difference if preferred.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1"/>
  </w:num>
  <w:num w:numId="1004">
    <w:abstractNumId w:val="991"/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2026-06-29T17:26:29Z</dcterms:created>
  <dcterms:modified xsi:type="dcterms:W3CDTF">2026-06-29T17:26:29Z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